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720"/>
      </w:pPr>
      <w:r>
        <w:t xml:space="preserve"/>
      </w:r>
    </w:p>
    <w:p>
      <w:pPr>
        <w:spacing w:after="80" w:before="0"/>
        <w:jc w:val="center"/>
      </w:pPr>
      <w:r>
        <w:rPr>
          <w:rFonts w:ascii="Georgia" w:cs="Georgia" w:eastAsia="Georgia" w:hAnsi="Georgia"/>
          <w:b/>
          <w:bCs/>
          <w:color w:val="C0392B"/>
          <w:sz w:val="96"/>
          <w:szCs w:val="96"/>
        </w:rPr>
        <w:t xml:space="preserve">MAGI</w:t>
      </w:r>
    </w:p>
    <w:p>
      <w:pPr>
        <w:spacing w:after="200" w:before="0"/>
        <w:jc w:val="center"/>
      </w:pPr>
      <w:r>
        <w:rPr>
          <w:rFonts w:ascii="Georgia" w:cs="Georgia" w:eastAsia="Georgia" w:hAnsi="Georgia"/>
          <w:b/>
          <w:bCs/>
          <w:color w:val="1A1A2E"/>
          <w:spacing w:val="80"/>
          <w:sz w:val="40"/>
          <w:szCs w:val="40"/>
        </w:rPr>
        <w:t xml:space="preserve">DELIBERATION LEDGER</w:t>
      </w:r>
    </w:p>
    <w:p>
      <w:pPr>
        <w:spacing w:after="80" w:before="0"/>
        <w:jc w:val="center"/>
      </w:pPr>
      <w:r>
        <w:rPr>
          <w:rFonts w:ascii="Georgia" w:cs="Georgia" w:eastAsia="Georgia" w:hAnsi="Georgia"/>
          <w:i/>
          <w:iCs/>
          <w:color w:val="555555"/>
          <w:sz w:val="26"/>
          <w:szCs w:val="26"/>
        </w:rPr>
        <w:t xml:space="preserve">System Design Document</w:t>
      </w:r>
    </w:p>
    <w:p>
      <w:pPr>
        <w:spacing w:after="80" w:before="0"/>
        <w:jc w:val="center"/>
      </w:pPr>
      <w:r>
        <w:rPr>
          <w:rFonts w:ascii="Georgia" w:cs="Georgia" w:eastAsia="Georgia" w:hAnsi="Georgia"/>
          <w:color w:val="888888"/>
          <w:sz w:val="20"/>
          <w:szCs w:val="20"/>
        </w:rPr>
        <w:t xml:space="preserve">Hardened Draft v0.2 — For Independent Critique and Analysis</w:t>
      </w:r>
    </w:p>
    <w:p>
      <w:pPr>
        <w:spacing w:after="400" w:before="0"/>
        <w:jc w:val="center"/>
      </w:pPr>
      <w:r>
        <w:rPr>
          <w:rFonts w:ascii="Georgia" w:cs="Georgia" w:eastAsia="Georgia" w:hAnsi="Georgia"/>
          <w:i/>
          <w:iCs/>
          <w:color w:val="888888"/>
          <w:sz w:val="19"/>
          <w:szCs w:val="19"/>
        </w:rPr>
        <w:t xml:space="preserve">This draft has been deliberately stripped to its defensible core. Contestable material is firewalled and labelled as such.</w:t>
      </w:r>
    </w:p>
    <w:p>
      <w:pPr>
        <w:pBdr>
          <w:bottom w:val="single" w:color="CCCCCC" w:sz="2" w:space="1"/>
        </w:pBdr>
        <w:spacing w:after="240" w:before="240"/>
      </w:pPr>
      <w:r>
        <w:t xml:space="preserve"/>
      </w:r>
    </w:p>
    <w:p>
      <w:pPr>
        <w:spacing w:after="0" w:before="120"/>
      </w:pPr>
      <w:r>
        <w:t xml:space="preserve"/>
      </w:r>
    </w:p>
    <w:p>
      <w:pPr>
        <w:pBdr>
          <w:left w:val="single" w:color="C0392B" w:sz="12" w:space="12"/>
        </w:pBdr>
        <w:spacing w:after="160" w:before="160" w:line="320" w:lineRule="auto"/>
        <w:ind w:left="900" w:right="720"/>
      </w:pPr>
      <w:r>
        <w:rPr>
          <w:rFonts w:ascii="Georgia" w:cs="Georgia" w:eastAsia="Georgia" w:hAnsi="Georgia"/>
          <w:i/>
          <w:iCs/>
          <w:color w:val="444444"/>
          <w:sz w:val="22"/>
          <w:szCs w:val="22"/>
        </w:rPr>
        <w:t xml:space="preserve">The strongest version of this proposal claims the least. Everything in this document that is not strictly necessary to the core claim has been marked as severable — so that no reviewer can use the decoration to discredit the structure.</w:t>
      </w:r>
    </w:p>
    <w:p>
      <w:pPr>
        <w:spacing w:after="0" w:before="120"/>
      </w:pPr>
      <w:r>
        <w:t xml:space="preserve"/>
      </w:r>
    </w:p>
    <w:p>
      <w:pPr>
        <w:pBdr>
          <w:bottom w:val="single" w:color="CCCCCC" w:sz="2" w:space="1"/>
        </w:pBdr>
        <w:spacing w:after="240" w:before="240"/>
      </w:pPr>
      <w:r>
        <w:t xml:space="preserve"/>
      </w:r>
    </w:p>
    <w:p>
      <w:pPr>
        <w:spacing w:after="0" w:before="360"/>
      </w:pPr>
      <w:r>
        <w:t xml:space="preserve"/>
      </w:r>
    </w:p>
    <w:p>
      <w:pPr>
        <w:pStyle w:val="Heading1"/>
        <w:pBdr>
          <w:bottom w:val="single" w:color="C0392B" w:sz="4" w:space="6"/>
        </w:pBdr>
        <w:spacing w:after="160" w:before="480"/>
      </w:pPr>
      <w:r>
        <w:rPr>
          <w:rFonts w:ascii="Georgia" w:cs="Georgia" w:eastAsia="Georgia" w:hAnsi="Georgia"/>
          <w:b/>
          <w:bCs/>
          <w:color w:val="1A1A2E"/>
          <w:sz w:val="34"/>
          <w:szCs w:val="34"/>
        </w:rPr>
        <w:t xml:space="preserve">0. How To Read This Document</w:t>
      </w:r>
    </w:p>
    <w:p>
      <w:pPr>
        <w:spacing w:after="100" w:before="80" w:line="320" w:lineRule="auto"/>
      </w:pPr>
      <w:r>
        <w:rPr>
          <w:rFonts w:ascii="Georgia" w:cs="Georgia" w:eastAsia="Georgia" w:hAnsi="Georgia"/>
          <w:b w:val="false"/>
          <w:bCs w:val="false"/>
          <w:i w:val="false"/>
          <w:iCs w:val="false"/>
          <w:color w:val="2C3E50"/>
          <w:sz w:val="22"/>
          <w:szCs w:val="22"/>
        </w:rPr>
        <w:t xml:space="preserve">This is a hardened revision. It is organized so that the load-bearing argument appears first and alone, and everything optional is quarantined behind it. The document uses three explicit tiers, marked throughout:</w:t>
      </w:r>
    </w:p>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1E5631" w:sz="1"/>
              <w:left w:val="single" w:color="1E5631" w:sz="16"/>
              <w:bottom w:val="single" w:color="1E5631" w:sz="1"/>
              <w:right w:val="single" w:color="1E5631" w:sz="1"/>
            </w:tcBorders>
            <w:shd w:fill="EAF3EC" w:val="clear"/>
            <w:tcMar>
              <w:top w:type="dxa" w:w="160"/>
              <w:left w:type="dxa" w:w="260"/>
              <w:bottom w:type="dxa" w:w="160"/>
              <w:right w:type="dxa" w:w="240"/>
            </w:tcMar>
          </w:tcPr>
          <w:p>
            <w:pPr>
              <w:spacing w:after="60" w:before="0"/>
            </w:pPr>
            <w:r>
              <w:rPr>
                <w:rFonts w:ascii="Georgia" w:cs="Georgia" w:eastAsia="Georgia" w:hAnsi="Georgia"/>
                <w:b/>
                <w:bCs/>
                <w:color w:val="1A1A2E"/>
                <w:sz w:val="21"/>
                <w:szCs w:val="21"/>
              </w:rPr>
              <w:t xml:space="preserve">TIER 1 — BEDROCK (Sections 1–3)</w:t>
            </w:r>
          </w:p>
          <w:p>
            <w:pPr>
              <w:spacing w:after="0" w:before="0"/>
            </w:pPr>
            <w:r>
              <w:rPr>
                <w:rFonts w:ascii="Georgia" w:cs="Georgia" w:eastAsia="Georgia" w:hAnsi="Georgia"/>
                <w:color w:val="333333"/>
                <w:sz w:val="21"/>
                <w:szCs w:val="21"/>
              </w:rPr>
              <w:t xml:space="preserve">The minimal claim and the evidence for it. If every other section were deleted, this would still stand. Attack this if you want to attack the project.</w:t>
            </w:r>
          </w:p>
        </w:tc>
      </w:tr>
    </w:tbl>
    <w:p>
      <w:pPr>
        <w:spacing w:after="0" w:before="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3B5A82" w:sz="1"/>
              <w:left w:val="single" w:color="3B5A82" w:sz="16"/>
              <w:bottom w:val="single" w:color="3B5A82" w:sz="1"/>
              <w:right w:val="single" w:color="3B5A82" w:sz="1"/>
            </w:tcBorders>
            <w:shd w:fill="EEF1F6" w:val="clear"/>
            <w:tcMar>
              <w:top w:type="dxa" w:w="160"/>
              <w:left w:type="dxa" w:w="260"/>
              <w:bottom w:type="dxa" w:w="160"/>
              <w:right w:type="dxa" w:w="240"/>
            </w:tcMar>
          </w:tcPr>
          <w:p>
            <w:pPr>
              <w:spacing w:after="60" w:before="0"/>
            </w:pPr>
            <w:r>
              <w:rPr>
                <w:rFonts w:ascii="Georgia" w:cs="Georgia" w:eastAsia="Georgia" w:hAnsi="Georgia"/>
                <w:b/>
                <w:bCs/>
                <w:color w:val="1A1A2E"/>
                <w:sz w:val="21"/>
                <w:szCs w:val="21"/>
              </w:rPr>
              <w:t xml:space="preserve">TIER 2 — IMPLEMENTATION (Sections 4–6)</w:t>
            </w:r>
          </w:p>
          <w:p>
            <w:pPr>
              <w:spacing w:after="0" w:before="0"/>
            </w:pPr>
            <w:r>
              <w:rPr>
                <w:rFonts w:ascii="Georgia" w:cs="Georgia" w:eastAsia="Georgia" w:hAnsi="Georgia"/>
                <w:color w:val="333333"/>
                <w:sz w:val="21"/>
                <w:szCs w:val="21"/>
              </w:rPr>
              <w:t xml:space="preserve">Concrete architecture that follows from the bedrock. Defensible, but specific choices here are negotiable and several are deliberately minimal.</w:t>
            </w:r>
          </w:p>
        </w:tc>
      </w:tr>
    </w:tbl>
    <w:p>
      <w:pPr>
        <w:spacing w:after="0" w:before="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92400E" w:sz="1"/>
              <w:left w:val="single" w:color="92400E" w:sz="16"/>
              <w:bottom w:val="single" w:color="92400E" w:sz="1"/>
              <w:right w:val="single" w:color="92400E" w:sz="1"/>
            </w:tcBorders>
            <w:shd w:fill="FBF1E3" w:val="clear"/>
            <w:tcMar>
              <w:top w:type="dxa" w:w="160"/>
              <w:left w:type="dxa" w:w="260"/>
              <w:bottom w:type="dxa" w:w="160"/>
              <w:right w:type="dxa" w:w="240"/>
            </w:tcMar>
          </w:tcPr>
          <w:p>
            <w:pPr>
              <w:spacing w:after="60" w:before="0"/>
            </w:pPr>
            <w:r>
              <w:rPr>
                <w:rFonts w:ascii="Georgia" w:cs="Georgia" w:eastAsia="Georgia" w:hAnsi="Georgia"/>
                <w:b/>
                <w:bCs/>
                <w:color w:val="1A1A2E"/>
                <w:sz w:val="21"/>
                <w:szCs w:val="21"/>
              </w:rPr>
              <w:t xml:space="preserve">TIER 3 — SEVERABLE (Sections 7–8)</w:t>
            </w:r>
          </w:p>
          <w:p>
            <w:pPr>
              <w:spacing w:after="0" w:before="0"/>
            </w:pPr>
            <w:r>
              <w:rPr>
                <w:rFonts w:ascii="Georgia" w:cs="Georgia" w:eastAsia="Georgia" w:hAnsi="Georgia"/>
                <w:color w:val="333333"/>
                <w:sz w:val="21"/>
                <w:szCs w:val="21"/>
              </w:rPr>
              <w:t xml:space="preserve">Inspirations, aesthetics, and aspirational features. Genuinely contestable, explicitly not required for the system to work. Provided for context and motivation only. The argument does not depend on any of it.</w:t>
            </w:r>
          </w:p>
        </w:tc>
      </w:tr>
    </w:tbl>
    <w:p>
      <w:pPr>
        <w:spacing w:after="0" w:before="120"/>
      </w:pPr>
      <w:r>
        <w:t xml:space="preserve"/>
      </w:r>
    </w:p>
    <w:p>
      <w:pPr>
        <w:spacing w:after="100" w:before="80" w:line="320" w:lineRule="auto"/>
      </w:pPr>
      <w:r>
        <w:rPr>
          <w:rFonts w:ascii="Georgia" w:cs="Georgia" w:eastAsia="Georgia" w:hAnsi="Georgia"/>
          <w:b w:val="false"/>
          <w:bCs w:val="false"/>
          <w:i w:val="false"/>
          <w:iCs w:val="false"/>
          <w:color w:val="2C3E50"/>
          <w:sz w:val="22"/>
          <w:szCs w:val="22"/>
        </w:rPr>
        <w:t xml:space="preserve">Sections 9 and 10 then turn the knife on the document itself, then turn it the other way. Section 9 is a named set of hostile reviewers with the design team's standing answer to each; Section 10 is a panel of allied reviewers, inside and outside the AI industry, identifying value the builders underweighted and refinements now folded into the design. We include both because absorbing the strongest attacks in advance is the most effective hardening available to a small project, and because the allied panel establishes that the surviving core is wider in reach than a developer tool.</w:t>
      </w:r>
    </w:p>
    <w:p>
      <w:pPr>
        <w:spacing w:after="0" w:before="240"/>
      </w:pPr>
      <w:r>
        <w:t xml:space="preserve"/>
      </w:r>
    </w:p>
    <w:p>
      <w:pPr>
        <w:shd w:fill="1E5631" w:val="clear"/>
        <w:spacing w:after="120" w:before="120"/>
      </w:pPr>
      <w:r>
        <w:rPr>
          <w:rFonts w:ascii="Georgia" w:cs="Georgia" w:eastAsia="Georgia" w:hAnsi="Georgia"/>
          <w:b/>
          <w:bCs/>
          <w:color w:val="FFFFFF"/>
          <w:sz w:val="20"/>
          <w:szCs w:val="20"/>
        </w:rPr>
        <w:t xml:space="preserve">  TIER 1 — BEDROCK   ·   The claim that survives every attack</w:t>
      </w:r>
    </w:p>
    <w:p>
      <w:pPr>
        <w:pStyle w:val="Heading1"/>
        <w:pBdr>
          <w:bottom w:val="single" w:color="C0392B" w:sz="4" w:space="6"/>
        </w:pBdr>
        <w:spacing w:after="160" w:before="480"/>
      </w:pPr>
      <w:r>
        <w:rPr>
          <w:rFonts w:ascii="Georgia" w:cs="Georgia" w:eastAsia="Georgia" w:hAnsi="Georgia"/>
          <w:b/>
          <w:bCs/>
          <w:color w:val="1A1A2E"/>
          <w:sz w:val="34"/>
          <w:szCs w:val="34"/>
        </w:rPr>
        <w:t xml:space="preserve">1. The Core Claim</w:t>
      </w:r>
    </w:p>
    <w:p>
      <w:pPr>
        <w:spacing w:after="100" w:before="80" w:line="320" w:lineRule="auto"/>
      </w:pPr>
      <w:r>
        <w:rPr>
          <w:rFonts w:ascii="Georgia" w:cs="Georgia" w:eastAsia="Georgia" w:hAnsi="Georgia"/>
          <w:b w:val="false"/>
          <w:bCs w:val="false"/>
          <w:i w:val="false"/>
          <w:iCs w:val="false"/>
          <w:color w:val="2C3E50"/>
          <w:sz w:val="22"/>
          <w:szCs w:val="22"/>
        </w:rPr>
        <w:t xml:space="preserve">MAGI rests on a single claim, stated as narrowly as possible so that it is difficult to attack:</w:t>
      </w:r>
    </w:p>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1E5631" w:sz="1"/>
              <w:left w:val="single" w:color="1E5631" w:sz="16"/>
              <w:bottom w:val="single" w:color="1E5631" w:sz="1"/>
              <w:right w:val="single" w:color="1E5631" w:sz="1"/>
            </w:tcBorders>
            <w:shd w:fill="EAF3EC" w:val="clear"/>
            <w:tcMar>
              <w:top w:type="dxa" w:w="160"/>
              <w:left w:type="dxa" w:w="260"/>
              <w:bottom w:type="dxa" w:w="160"/>
              <w:right w:type="dxa" w:w="240"/>
            </w:tcMar>
          </w:tcPr>
          <w:p>
            <w:pPr>
              <w:spacing w:after="60" w:before="0"/>
            </w:pPr>
            <w:r>
              <w:rPr>
                <w:rFonts w:ascii="Georgia" w:cs="Georgia" w:eastAsia="Georgia" w:hAnsi="Georgia"/>
                <w:b/>
                <w:bCs/>
                <w:color w:val="1A1A2E"/>
                <w:sz w:val="21"/>
                <w:szCs w:val="21"/>
              </w:rPr>
              <w:t xml:space="preserve">The core claim</w:t>
            </w:r>
          </w:p>
          <w:p>
            <w:pPr>
              <w:spacing w:after="0" w:before="0"/>
            </w:pPr>
            <w:r>
              <w:rPr>
                <w:rFonts w:ascii="Georgia" w:cs="Georgia" w:eastAsia="Georgia" w:hAnsi="Georgia"/>
                <w:color w:val="333333"/>
                <w:sz w:val="21"/>
                <w:szCs w:val="21"/>
              </w:rPr>
              <w:t xml:space="preserve">For decisions that have no verifiable answer at the time they are made, the reasoning behind competing positions has future value — and the dominant tools discard it. MAGI preserves that reasoning as a structured, durable record, with the dissenting position retained as a first-class artifact rather than synthesized away.</w:t>
            </w:r>
          </w:p>
        </w:tc>
      </w:tr>
    </w:tbl>
    <w:p>
      <w:pPr>
        <w:spacing w:after="0" w:before="120"/>
      </w:pPr>
      <w:r>
        <w:t xml:space="preserve"/>
      </w:r>
    </w:p>
    <w:p>
      <w:pPr>
        <w:spacing w:after="100" w:before="80" w:line="320" w:lineRule="auto"/>
      </w:pPr>
      <w:r>
        <w:rPr>
          <w:rFonts w:ascii="Georgia" w:cs="Georgia" w:eastAsia="Georgia" w:hAnsi="Georgia"/>
          <w:b w:val="false"/>
          <w:bCs w:val="false"/>
          <w:i w:val="false"/>
          <w:iCs w:val="false"/>
          <w:color w:val="2C3E50"/>
          <w:sz w:val="22"/>
          <w:szCs w:val="22"/>
        </w:rPr>
        <w:t xml:space="preserve">That is the whole product, reduced. Notice what it does not claim. It does not claim to produce better answers. It does not claim to decide anything. It does not claim that its agents are genuinely independent minds, that it learns over time, or that any particular philosophical tradition validates it. It claims only that a specific artifact — the reasoning behind a contested decision, including the losing reasoning — is valuable and is currently being thrown away.</w:t>
      </w:r>
    </w:p>
    <w:p>
      <w:pPr>
        <w:spacing w:after="100" w:before="80" w:line="320" w:lineRule="auto"/>
      </w:pPr>
      <w:r>
        <w:rPr>
          <w:rFonts w:ascii="Georgia" w:cs="Georgia" w:eastAsia="Georgia" w:hAnsi="Georgia"/>
          <w:b w:val="false"/>
          <w:bCs w:val="false"/>
          <w:i w:val="false"/>
          <w:iCs w:val="false"/>
          <w:color w:val="2C3E50"/>
          <w:sz w:val="22"/>
          <w:szCs w:val="22"/>
        </w:rPr>
        <w:t xml:space="preserve">This claim is verifiable by inspection rather than by benchmark. One can simply look at the output of existing synthesis tools and confirm that the minority reasoning is gone, and look at MAGI's output and confirm that it is retained. No accuracy metric is required to establish it, which is precisely why it is defensible.</w:t>
      </w:r>
    </w:p>
    <w:p>
      <w:pPr>
        <w:spacing w:after="100" w:before="80" w:line="320" w:lineRule="auto"/>
      </w:pPr>
      <w:r>
        <w:rPr>
          <w:rFonts w:ascii="Georgia" w:cs="Georgia" w:eastAsia="Georgia" w:hAnsi="Georgia"/>
          <w:b w:val="false"/>
          <w:bCs w:val="false"/>
          <w:i w:val="false"/>
          <w:iCs w:val="false"/>
          <w:color w:val="2C3E50"/>
          <w:sz w:val="22"/>
          <w:szCs w:val="22"/>
        </w:rPr>
        <w:t xml:space="preserve">The claim is modest, but the company it keeps is not. Preserved dissent under conditions of high stakes and absent ground truth is the operating principle of appellate courts, medical multidisciplinary boards, intelligence analysis units, and structured public deliberation — institutions with decades or centuries of validation behind exactly this stance (Section 3.3). MAGI is best understood not as a developer convenience but as decision infrastructure for contested questions, of which attaching a reasoning record to a software change is one instance among many. The narrowness of the claim is what makes it defensible; the lineage is what makes it worth building.</w:t>
      </w:r>
    </w:p>
    <w:p>
      <w:pPr>
        <w:pStyle w:val="Heading2"/>
        <w:spacing w:after="120" w:before="340"/>
      </w:pPr>
      <w:r>
        <w:rPr>
          <w:rFonts w:ascii="Georgia" w:cs="Georgia" w:eastAsia="Georgia" w:hAnsi="Georgia"/>
          <w:b/>
          <w:bCs/>
          <w:color w:val="1A1A2E"/>
          <w:sz w:val="27"/>
          <w:szCs w:val="27"/>
        </w:rPr>
        <w:t xml:space="preserve">1.1 What MAGI Produces</w:t>
      </w:r>
    </w:p>
    <w:p>
      <w:pPr>
        <w:pStyle w:val="ListParagraph"/>
        <w:numPr>
          <w:ilvl w:val="0"/>
          <w:numId w:val="2"/>
        </w:numPr>
        <w:spacing w:after="60" w:before="60" w:line="300" w:lineRule="auto"/>
      </w:pPr>
      <w:r>
        <w:rPr>
          <w:rFonts w:ascii="Georgia" w:cs="Georgia" w:eastAsia="Georgia" w:hAnsi="Georgia"/>
          <w:b w:val="false"/>
          <w:bCs w:val="false"/>
          <w:i w:val="false"/>
          <w:iCs w:val="false"/>
          <w:color w:val="2C3E50"/>
          <w:sz w:val="22"/>
          <w:szCs w:val="22"/>
        </w:rPr>
        <w:t xml:space="preserve">A structured record of a decision: the question, the competing positions in full, and which position prevailed.</w:t>
      </w:r>
    </w:p>
    <w:p>
      <w:pPr>
        <w:pStyle w:val="ListParagraph"/>
        <w:numPr>
          <w:ilvl w:val="0"/>
          <w:numId w:val="2"/>
        </w:numPr>
        <w:spacing w:after="60" w:before="60" w:line="300" w:lineRule="auto"/>
      </w:pPr>
      <w:r>
        <w:rPr>
          <w:rFonts w:ascii="Georgia" w:cs="Georgia" w:eastAsia="Georgia" w:hAnsi="Georgia"/>
          <w:b w:val="false"/>
          <w:bCs w:val="false"/>
          <w:i w:val="false"/>
          <w:iCs w:val="false"/>
          <w:color w:val="2C3E50"/>
          <w:sz w:val="22"/>
          <w:szCs w:val="22"/>
        </w:rPr>
        <w:t xml:space="preserve">A preserved minority report — the strongest reasoning for the position that did not win — retained verbatim, not merged or summarized away.</w:t>
      </w:r>
    </w:p>
    <w:p>
      <w:pPr>
        <w:pStyle w:val="ListParagraph"/>
        <w:numPr>
          <w:ilvl w:val="0"/>
          <w:numId w:val="2"/>
        </w:numPr>
        <w:spacing w:after="60" w:before="60" w:line="300" w:lineRule="auto"/>
      </w:pPr>
      <w:r>
        <w:rPr>
          <w:rFonts w:ascii="Georgia" w:cs="Georgia" w:eastAsia="Georgia" w:hAnsi="Georgia"/>
          <w:b w:val="false"/>
          <w:bCs w:val="false"/>
          <w:i w:val="false"/>
          <w:iCs w:val="false"/>
          <w:color w:val="2C3E50"/>
          <w:sz w:val="22"/>
          <w:szCs w:val="22"/>
        </w:rPr>
        <w:t xml:space="preserve">On a genuine split, a crux: the specific, testable disagreement that would have to be resolved to break the tie.</w:t>
      </w:r>
    </w:p>
    <w:p>
      <w:pPr>
        <w:pStyle w:val="ListParagraph"/>
        <w:numPr>
          <w:ilvl w:val="0"/>
          <w:numId w:val="2"/>
        </w:numPr>
        <w:spacing w:after="60" w:before="60" w:line="300" w:lineRule="auto"/>
      </w:pPr>
      <w:r>
        <w:rPr>
          <w:rFonts w:ascii="Georgia" w:cs="Georgia" w:eastAsia="Georgia" w:hAnsi="Georgia"/>
          <w:b w:val="false"/>
          <w:bCs w:val="false"/>
          <w:i w:val="false"/>
          <w:iCs w:val="false"/>
          <w:color w:val="2C3E50"/>
          <w:sz w:val="22"/>
          <w:szCs w:val="22"/>
        </w:rPr>
        <w:t xml:space="preserve">A durable, searchable record of past deliberations that can be retrieved when a decision is later revisited.</w:t>
      </w:r>
    </w:p>
    <w:p>
      <w:pPr>
        <w:pStyle w:val="Heading2"/>
        <w:spacing w:after="120" w:before="340"/>
      </w:pPr>
      <w:r>
        <w:rPr>
          <w:rFonts w:ascii="Georgia" w:cs="Georgia" w:eastAsia="Georgia" w:hAnsi="Georgia"/>
          <w:b/>
          <w:bCs/>
          <w:color w:val="1A1A2E"/>
          <w:sz w:val="27"/>
          <w:szCs w:val="27"/>
        </w:rPr>
        <w:t xml:space="preserve">1.2 What MAGI Explicitly Is Not</w:t>
      </w:r>
    </w:p>
    <w:p>
      <w:pPr>
        <w:pStyle w:val="ListParagraph"/>
        <w:numPr>
          <w:ilvl w:val="0"/>
          <w:numId w:val="2"/>
        </w:numPr>
        <w:spacing w:after="60" w:before="60" w:line="300" w:lineRule="auto"/>
      </w:pPr>
      <w:r>
        <w:rPr>
          <w:rFonts w:ascii="Georgia" w:cs="Georgia" w:eastAsia="Georgia" w:hAnsi="Georgia"/>
          <w:b w:val="false"/>
          <w:bCs w:val="false"/>
          <w:i w:val="false"/>
          <w:iCs w:val="false"/>
          <w:color w:val="2C3E50"/>
          <w:sz w:val="22"/>
          <w:szCs w:val="22"/>
        </w:rPr>
        <w:t xml:space="preserve">It is not an accuracy tool. It makes no claim to produce correct answers and concedes that consensus methods outperform it on questions that have answers (Section 3).</w:t>
      </w:r>
    </w:p>
    <w:p>
      <w:pPr>
        <w:pStyle w:val="ListParagraph"/>
        <w:numPr>
          <w:ilvl w:val="0"/>
          <w:numId w:val="2"/>
        </w:numPr>
        <w:spacing w:after="60" w:before="60" w:line="300" w:lineRule="auto"/>
      </w:pPr>
      <w:r>
        <w:rPr>
          <w:rFonts w:ascii="Georgia" w:cs="Georgia" w:eastAsia="Georgia" w:hAnsi="Georgia"/>
          <w:b w:val="false"/>
          <w:bCs w:val="false"/>
          <w:i w:val="false"/>
          <w:iCs w:val="false"/>
          <w:color w:val="2C3E50"/>
          <w:sz w:val="22"/>
          <w:szCs w:val="22"/>
        </w:rPr>
        <w:t xml:space="preserve">It is not a decision-maker. On a split it returns a structured input to a human decision, not a verdict the human is expected to obey.</w:t>
      </w:r>
    </w:p>
    <w:p>
      <w:pPr>
        <w:pStyle w:val="ListParagraph"/>
        <w:numPr>
          <w:ilvl w:val="0"/>
          <w:numId w:val="2"/>
        </w:numPr>
        <w:spacing w:after="60" w:before="60" w:line="300" w:lineRule="auto"/>
      </w:pPr>
      <w:r>
        <w:rPr>
          <w:rFonts w:ascii="Georgia" w:cs="Georgia" w:eastAsia="Georgia" w:hAnsi="Georgia"/>
          <w:b w:val="false"/>
          <w:bCs w:val="false"/>
          <w:i w:val="false"/>
          <w:iCs w:val="false"/>
          <w:color w:val="2C3E50"/>
          <w:sz w:val="22"/>
          <w:szCs w:val="22"/>
        </w:rPr>
        <w:t xml:space="preserve">It is not a synthesis engine. It deliberately has no step that merges the three positions into one response.</w:t>
      </w:r>
    </w:p>
    <w:p>
      <w:pPr>
        <w:pStyle w:val="ListParagraph"/>
        <w:numPr>
          <w:ilvl w:val="0"/>
          <w:numId w:val="2"/>
        </w:numPr>
        <w:spacing w:after="60" w:before="60" w:line="300" w:lineRule="auto"/>
      </w:pPr>
      <w:r>
        <w:rPr>
          <w:rFonts w:ascii="Georgia" w:cs="Georgia" w:eastAsia="Georgia" w:hAnsi="Georgia"/>
          <w:b w:val="false"/>
          <w:bCs w:val="false"/>
          <w:i w:val="false"/>
          <w:iCs w:val="false"/>
          <w:color w:val="2C3E50"/>
          <w:sz w:val="22"/>
          <w:szCs w:val="22"/>
        </w:rPr>
        <w:t xml:space="preserve">It is not, in v0.2, a learning system. Any claim that it improves or calibrates over time is quarantined in Tier 3 as unvalidated aspiration.</w:t>
      </w:r>
    </w:p>
    <w:p>
      <w:pPr>
        <w:spacing w:after="0" w:before="240"/>
      </w:pPr>
      <w:r>
        <w:t xml:space="preserve"/>
      </w:r>
    </w:p>
    <w:p>
      <w:pPr>
        <w:pStyle w:val="Heading1"/>
        <w:pBdr>
          <w:bottom w:val="single" w:color="C0392B" w:sz="4" w:space="6"/>
        </w:pBdr>
        <w:spacing w:after="160" w:before="480"/>
      </w:pPr>
      <w:r>
        <w:rPr>
          <w:rFonts w:ascii="Georgia" w:cs="Georgia" w:eastAsia="Georgia" w:hAnsi="Georgia"/>
          <w:b/>
          <w:bCs/>
          <w:color w:val="1A1A2E"/>
          <w:sz w:val="34"/>
          <w:szCs w:val="34"/>
        </w:rPr>
        <w:t xml:space="preserve">2. The Gap This Fills</w:t>
      </w:r>
    </w:p>
    <w:p>
      <w:pPr>
        <w:spacing w:after="100" w:before="80" w:line="320" w:lineRule="auto"/>
      </w:pPr>
      <w:r>
        <w:rPr>
          <w:rFonts w:ascii="Georgia" w:cs="Georgia" w:eastAsia="Georgia" w:hAnsi="Georgia"/>
          <w:b w:val="false"/>
          <w:bCs w:val="false"/>
          <w:i w:val="false"/>
          <w:iCs w:val="false"/>
          <w:color w:val="2C3E50"/>
          <w:sz w:val="22"/>
          <w:szCs w:val="22"/>
        </w:rPr>
        <w:t xml:space="preserve">When a team makes a consequential decision without a verifiable answer — adopt this architecture, accept this trade-off, take on this dependency — the deliberation that produced it disappears. The decision survives as a line in a changelog or a merged pull request. The reasoning does not. In particular, the strongest case against the chosen path — who held it, and what would have to be true for them to be right — is gone.</w:t>
      </w:r>
    </w:p>
    <w:p>
      <w:pPr>
        <w:spacing w:after="100" w:before="80" w:line="320" w:lineRule="auto"/>
      </w:pPr>
      <w:r>
        <w:rPr>
          <w:rFonts w:ascii="Georgia" w:cs="Georgia" w:eastAsia="Georgia" w:hAnsi="Georgia"/>
          <w:b w:val="false"/>
          <w:bCs w:val="false"/>
          <w:i w:val="false"/>
          <w:iCs w:val="false"/>
          <w:color w:val="2C3E50"/>
          <w:sz w:val="22"/>
          <w:szCs w:val="22"/>
        </w:rPr>
        <w:t xml:space="preserve">This matters most at the moment of review. When a decision later turns out badly, the team relitigates it without access to the dissent that was available at the time. The minority report from the original deliberation is exactly the document that would help, and it does not exist, because no common tool produces or keeps it.</w:t>
      </w:r>
    </w:p>
    <w:p>
      <w:pPr>
        <w:spacing w:after="100" w:before="80" w:line="320" w:lineRule="auto"/>
      </w:pPr>
      <w:r>
        <w:rPr>
          <w:rFonts w:ascii="Georgia" w:cs="Georgia" w:eastAsia="Georgia" w:hAnsi="Georgia"/>
          <w:b w:val="false"/>
          <w:bCs w:val="false"/>
          <w:i w:val="false"/>
          <w:iCs w:val="false"/>
          <w:color w:val="2C3E50"/>
          <w:sz w:val="22"/>
          <w:szCs w:val="22"/>
        </w:rPr>
        <w:t xml:space="preserve">Synthesis-first tools make this worse, not better. By design they consume the disagreement and emit a single merged answer. The dissent is not merely unsaved; it is actively dissolved into the consensus, so that even the fact that qualified reasoning pointed the other way is erased. MAGI's entire function is to refuse that erasure for the class of decisions where the erased information has the most value.</w:t>
      </w:r>
    </w:p>
    <w:p>
      <w:pPr>
        <w:spacing w:after="0" w:before="240"/>
      </w:pPr>
      <w:r>
        <w:t xml:space="preserve"/>
      </w:r>
    </w:p>
    <w:p>
      <w:pPr>
        <w:pStyle w:val="Heading1"/>
        <w:pBdr>
          <w:bottom w:val="single" w:color="C0392B" w:sz="4" w:space="6"/>
        </w:pBdr>
        <w:spacing w:after="160" w:before="480"/>
      </w:pPr>
      <w:r>
        <w:rPr>
          <w:rFonts w:ascii="Georgia" w:cs="Georgia" w:eastAsia="Georgia" w:hAnsi="Georgia"/>
          <w:b/>
          <w:bCs/>
          <w:color w:val="1A1A2E"/>
          <w:sz w:val="34"/>
          <w:szCs w:val="34"/>
        </w:rPr>
        <w:t xml:space="preserve">3. The Boundary of the Claim, and the Evidence For It</w:t>
      </w:r>
    </w:p>
    <w:p>
      <w:pPr>
        <w:spacing w:after="100" w:before="80" w:line="320" w:lineRule="auto"/>
      </w:pPr>
      <w:r>
        <w:rPr>
          <w:rFonts w:ascii="Georgia" w:cs="Georgia" w:eastAsia="Georgia" w:hAnsi="Georgia"/>
          <w:b w:val="false"/>
          <w:bCs w:val="false"/>
          <w:i w:val="false"/>
          <w:iCs w:val="false"/>
          <w:color w:val="2C3E50"/>
          <w:sz w:val="22"/>
          <w:szCs w:val="22"/>
        </w:rPr>
        <w:t xml:space="preserve">The claim above is strong only because it is bounded. MAGI is correct for one class of question and would be wrong, even harmful, if applied to the other. Stating the boundary honestly is what makes the rest defensible.</w:t>
      </w:r>
    </w:p>
    <w:p>
      <w:pPr>
        <w:pStyle w:val="Heading2"/>
        <w:spacing w:after="120" w:before="340"/>
      </w:pPr>
      <w:r>
        <w:rPr>
          <w:rFonts w:ascii="Georgia" w:cs="Georgia" w:eastAsia="Georgia" w:hAnsi="Georgia"/>
          <w:b/>
          <w:bCs/>
          <w:color w:val="1A1A2E"/>
          <w:sz w:val="27"/>
          <w:szCs w:val="27"/>
        </w:rPr>
        <w:t xml:space="preserve">3.1 Why Most Tools Move Toward Consensus — and Are Right To</w:t>
      </w:r>
    </w:p>
    <w:p>
      <w:pPr>
        <w:spacing w:after="100" w:before="80" w:line="320" w:lineRule="auto"/>
      </w:pPr>
      <w:r>
        <w:rPr>
          <w:rFonts w:ascii="Georgia" w:cs="Georgia" w:eastAsia="Georgia" w:hAnsi="Georgia"/>
          <w:b w:val="false"/>
          <w:bCs w:val="false"/>
          <w:i w:val="false"/>
          <w:iCs w:val="false"/>
          <w:color w:val="2C3E50"/>
          <w:sz w:val="22"/>
          <w:szCs w:val="22"/>
        </w:rPr>
        <w:t xml:space="preserve">Nearly every multi-agent system flows toward consensus and synthesis. This is not a mistake to be corrected; for the questions those systems target, it is correct. On tasks with verifiable answers, ensembling produces large, repeatable accuracy gains: majority-vote self-consistency yields double-digit improvements on mathematical reasoning, and iterative consensus has raised performance on PhD-level science questions by relative margins exceeding forty percent. There is a real principle underneath: correct reasoning paths converge more reliably than incorrect ones, so on answerable questions, agreement is itself evidence of correctness.</w:t>
      </w:r>
    </w:p>
    <w:p>
      <w:pPr>
        <w:spacing w:after="100" w:before="80" w:line="320" w:lineRule="auto"/>
      </w:pPr>
      <w:r>
        <w:rPr>
          <w:rFonts w:ascii="Georgia" w:cs="Georgia" w:eastAsia="Georgia" w:hAnsi="Georgia"/>
          <w:b w:val="false"/>
          <w:bCs w:val="false"/>
          <w:i w:val="false"/>
          <w:iCs w:val="false"/>
          <w:color w:val="2C3E50"/>
          <w:sz w:val="22"/>
          <w:szCs w:val="22"/>
        </w:rPr>
        <w:t xml:space="preserve">Three further forces reinforce this. The benchmark culture rewards a single scoreable output, because an answer key cannot score the judgment that a question is contested. The product grammar of language models is singular, returning one answer to one question. And a fused answer is simply easier to sell, consume, and act on. These pressures are genuine. A tool that resists them must justify the cost it imposes, not pretend the cost is imaginary.</w:t>
      </w:r>
    </w:p>
    <w:p>
      <w:pPr>
        <w:pStyle w:val="Heading2"/>
        <w:spacing w:after="120" w:before="340"/>
      </w:pPr>
      <w:r>
        <w:rPr>
          <w:rFonts w:ascii="Georgia" w:cs="Georgia" w:eastAsia="Georgia" w:hAnsi="Georgia"/>
          <w:b/>
          <w:bCs/>
          <w:color w:val="1A1A2E"/>
          <w:sz w:val="27"/>
          <w:szCs w:val="27"/>
        </w:rPr>
        <w:t xml:space="preserve">3.2 The Distinction That Bounds Everything</w:t>
      </w:r>
    </w:p>
    <w:p>
      <w:pPr>
        <w:spacing w:after="100" w:before="80" w:line="320" w:lineRule="auto"/>
      </w:pPr>
      <w:r>
        <w:rPr>
          <w:rFonts w:ascii="Georgia" w:cs="Georgia" w:eastAsia="Georgia" w:hAnsi="Georgia"/>
          <w:b w:val="false"/>
          <w:bCs w:val="false"/>
          <w:i w:val="false"/>
          <w:iCs w:val="false"/>
          <w:color w:val="2C3E50"/>
          <w:sz w:val="22"/>
          <w:szCs w:val="22"/>
        </w:rPr>
        <w:t xml:space="preserve">The resolution is a single distinction the field has not drawn cleanly.</w:t>
      </w:r>
    </w:p>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3B5A82" w:sz="1"/>
              <w:left w:val="single" w:color="3B5A82" w:sz="16"/>
              <w:bottom w:val="single" w:color="3B5A82" w:sz="1"/>
              <w:right w:val="single" w:color="3B5A82" w:sz="1"/>
            </w:tcBorders>
            <w:shd w:fill="EEF1F6" w:val="clear"/>
            <w:tcMar>
              <w:top w:type="dxa" w:w="160"/>
              <w:left w:type="dxa" w:w="260"/>
              <w:bottom w:type="dxa" w:w="160"/>
              <w:right w:type="dxa" w:w="240"/>
            </w:tcMar>
          </w:tcPr>
          <w:p>
            <w:pPr>
              <w:spacing w:after="60" w:before="0"/>
            </w:pPr>
            <w:r>
              <w:rPr>
                <w:rFonts w:ascii="Georgia" w:cs="Georgia" w:eastAsia="Georgia" w:hAnsi="Georgia"/>
                <w:b/>
                <w:bCs/>
                <w:color w:val="1A1A2E"/>
                <w:sz w:val="21"/>
                <w:szCs w:val="21"/>
              </w:rPr>
              <w:t xml:space="preserve">Epistemic questions</w:t>
            </w:r>
          </w:p>
          <w:p>
            <w:pPr>
              <w:spacing w:after="0" w:before="0"/>
            </w:pPr>
            <w:r>
              <w:rPr>
                <w:rFonts w:ascii="Georgia" w:cs="Georgia" w:eastAsia="Georgia" w:hAnsi="Georgia"/>
                <w:color w:val="333333"/>
                <w:sz w:val="21"/>
                <w:szCs w:val="21"/>
              </w:rPr>
              <w:t xml:space="preserve">Have a knowable right answer: a math problem, a science question with a confirmed result, a categorization with a correct label. Consensus methods are well-validated here. MAGI concedes this territory entirely and makes no claim on it.</w:t>
            </w:r>
          </w:p>
        </w:tc>
      </w:tr>
    </w:tbl>
    <w:p>
      <w:pPr>
        <w:spacing w:after="0" w:before="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92400E" w:sz="1"/>
              <w:left w:val="single" w:color="92400E" w:sz="16"/>
              <w:bottom w:val="single" w:color="92400E" w:sz="1"/>
              <w:right w:val="single" w:color="92400E" w:sz="1"/>
            </w:tcBorders>
            <w:shd w:fill="FBF1E3" w:val="clear"/>
            <w:tcMar>
              <w:top w:type="dxa" w:w="160"/>
              <w:left w:type="dxa" w:w="260"/>
              <w:bottom w:type="dxa" w:w="160"/>
              <w:right w:type="dxa" w:w="240"/>
            </w:tcMar>
          </w:tcPr>
          <w:p>
            <w:pPr>
              <w:spacing w:after="60" w:before="0"/>
            </w:pPr>
            <w:r>
              <w:rPr>
                <w:rFonts w:ascii="Georgia" w:cs="Georgia" w:eastAsia="Georgia" w:hAnsi="Georgia"/>
                <w:b/>
                <w:bCs/>
                <w:color w:val="1A1A2E"/>
                <w:sz w:val="21"/>
                <w:szCs w:val="21"/>
              </w:rPr>
              <w:t xml:space="preserve">Deliberative questions</w:t>
            </w:r>
          </w:p>
          <w:p>
            <w:pPr>
              <w:spacing w:after="0" w:before="0"/>
            </w:pPr>
            <w:r>
              <w:rPr>
                <w:rFonts w:ascii="Georgia" w:cs="Georgia" w:eastAsia="Georgia" w:hAnsi="Georgia"/>
                <w:color w:val="333333"/>
                <w:sz w:val="21"/>
                <w:szCs w:val="21"/>
              </w:rPr>
              <w:t xml:space="preserve">Have no knowable answer at decision time: should we rewrite this service, is this trade-off acceptable, should we pivot. Correctness is not merely unknown but undefined, because it depends on an unrealized future and on values not yet fully articulated. Here the convergence-signal of truth does not exist, and fusing model outputs manufactures false confidence on exactly the questions where confidence is least warranted.</w:t>
            </w:r>
          </w:p>
        </w:tc>
      </w:tr>
    </w:tbl>
    <w:p>
      <w:pPr>
        <w:spacing w:after="0" w:before="120"/>
      </w:pPr>
      <w:r>
        <w:t xml:space="preserve"/>
      </w:r>
    </w:p>
    <w:p>
      <w:pPr>
        <w:spacing w:after="100" w:before="80" w:line="320" w:lineRule="auto"/>
      </w:pPr>
      <w:r>
        <w:rPr>
          <w:rFonts w:ascii="Georgia" w:cs="Georgia" w:eastAsia="Georgia" w:hAnsi="Georgia"/>
          <w:b w:val="false"/>
          <w:bCs w:val="false"/>
          <w:i w:val="false"/>
          <w:iCs w:val="false"/>
          <w:color w:val="2C3E50"/>
          <w:sz w:val="22"/>
          <w:szCs w:val="22"/>
        </w:rPr>
        <w:t xml:space="preserve">Every study validating fusion shares one feature: a benchmark with an answer key. Every question MAGI targets lacks one. That is the entire boundary. The discipline it demands is absolute — MAGI must never claim better answers, must concede every epistemic question, and must restrict itself to deliberative decisions where preserving the disagreement is more honest and less dangerous than dissolving it.</w:t>
      </w:r>
    </w:p>
    <w:p>
      <w:pPr>
        <w:pStyle w:val="Heading2"/>
        <w:spacing w:after="120" w:before="340"/>
      </w:pPr>
      <w:r>
        <w:rPr>
          <w:rFonts w:ascii="Georgia" w:cs="Georgia" w:eastAsia="Georgia" w:hAnsi="Georgia"/>
          <w:b/>
          <w:bCs/>
          <w:color w:val="1A1A2E"/>
          <w:sz w:val="27"/>
          <w:szCs w:val="27"/>
        </w:rPr>
        <w:t xml:space="preserve">3.3 Cross-Disciplinary Evidence</w:t>
      </w:r>
    </w:p>
    <w:p>
      <w:pPr>
        <w:spacing w:after="100" w:before="80" w:line="320" w:lineRule="auto"/>
      </w:pPr>
      <w:r>
        <w:rPr>
          <w:rFonts w:ascii="Georgia" w:cs="Georgia" w:eastAsia="Georgia" w:hAnsi="Georgia"/>
          <w:b w:val="false"/>
          <w:bCs w:val="false"/>
          <w:i w:val="false"/>
          <w:iCs w:val="false"/>
          <w:color w:val="2C3E50"/>
          <w:sz w:val="22"/>
          <w:szCs w:val="22"/>
        </w:rPr>
        <w:t xml:space="preserve">Because a deliberative tool cannot, by construction, be validated by accuracy benchmarks, the relevant evidence comes from the human fields that have long institutionalized preserved dissent. The pattern is consistent and is the strongest external support for the design: every field that formalizes dissent does so precisely where ground truth is absent or deferred and error is costly. This is the same boundary, demonstrated across four centuries.</w:t>
      </w:r>
    </w:p>
    <w:p>
      <w:pPr>
        <w:spacing w:after="60" w:before="200"/>
      </w:pPr>
      <w:r>
        <w:rPr>
          <w:rFonts w:ascii="Georgia" w:cs="Georgia" w:eastAsia="Georgia" w:hAnsi="Georgia"/>
          <w:b/>
          <w:bCs/>
          <w:i/>
          <w:iCs/>
          <w:color w:val="2C3E50"/>
          <w:sz w:val="22"/>
          <w:szCs w:val="22"/>
        </w:rPr>
        <w:t xml:space="preserve">Behavioral science — the empirical case, with a warning</w:t>
      </w:r>
    </w:p>
    <w:p>
      <w:pPr>
        <w:spacing w:after="100" w:before="80" w:line="320" w:lineRule="auto"/>
      </w:pPr>
      <w:r>
        <w:rPr>
          <w:rFonts w:ascii="Georgia" w:cs="Georgia" w:eastAsia="Georgia" w:hAnsi="Georgia"/>
          <w:b w:val="false"/>
          <w:bCs w:val="false"/>
          <w:i w:val="false"/>
          <w:iCs w:val="false"/>
          <w:color w:val="2C3E50"/>
          <w:sz w:val="22"/>
          <w:szCs w:val="22"/>
        </w:rPr>
        <w:t xml:space="preserve">Charlan Nemeth's research programme finds that dissent, even when wrong, stimulates broader thinking, more information search, and consideration of alternatives, producing better decisions and more creative solutions; subjects exposed to a disagreeing minority detected correct solutions others missed. The same body of work contains the design's sharpest internal warning: authentic dissent, genuinely held, outperforms role-played devil's advocacy, which can merely bolster the existing view and supply false comfort. MAGI's personas are assigned roles, so this warning applies directly and is carried as a primary open question (Section 9).</w:t>
      </w:r>
    </w:p>
    <w:p>
      <w:pPr>
        <w:spacing w:after="60" w:before="200"/>
      </w:pPr>
      <w:r>
        <w:rPr>
          <w:rFonts w:ascii="Georgia" w:cs="Georgia" w:eastAsia="Georgia" w:hAnsi="Georgia"/>
          <w:b/>
          <w:bCs/>
          <w:i/>
          <w:iCs/>
          <w:color w:val="2C3E50"/>
          <w:sz w:val="22"/>
          <w:szCs w:val="22"/>
        </w:rPr>
        <w:t xml:space="preserve">Intelligence analysis — institutionalized contrarianism</w:t>
      </w:r>
    </w:p>
    <w:p>
      <w:pPr>
        <w:spacing w:after="100" w:before="80" w:line="320" w:lineRule="auto"/>
      </w:pPr>
      <w:r>
        <w:rPr>
          <w:rFonts w:ascii="Georgia" w:cs="Georgia" w:eastAsia="Georgia" w:hAnsi="Georgia"/>
          <w:b w:val="false"/>
          <w:bCs w:val="false"/>
          <w:i w:val="false"/>
          <w:iCs w:val="false"/>
          <w:color w:val="2C3E50"/>
          <w:sz w:val="22"/>
          <w:szCs w:val="22"/>
        </w:rPr>
        <w:t xml:space="preserve">After consensus-driven analytic failures, intelligence services formalized dissent: dedicated devil's-advocacy functions, Team A / Team B exercises, and Analysis of Competing Hypotheses, all intended to ensure dissenting interpretations reach decision-makers. Their purpose is not to compute the answer — intelligence questions rarely have a timely one — but to prevent confident closure around a wrong assessment.</w:t>
      </w:r>
    </w:p>
    <w:p>
      <w:pPr>
        <w:spacing w:after="60" w:before="200"/>
      </w:pPr>
      <w:r>
        <w:rPr>
          <w:rFonts w:ascii="Georgia" w:cs="Georgia" w:eastAsia="Georgia" w:hAnsi="Georgia"/>
          <w:b/>
          <w:bCs/>
          <w:i/>
          <w:iCs/>
          <w:color w:val="2C3E50"/>
          <w:sz w:val="22"/>
          <w:szCs w:val="22"/>
        </w:rPr>
        <w:t xml:space="preserve">Science — multiple working hypotheses</w:t>
      </w:r>
    </w:p>
    <w:p>
      <w:pPr>
        <w:spacing w:after="100" w:before="80" w:line="320" w:lineRule="auto"/>
      </w:pPr>
      <w:r>
        <w:rPr>
          <w:rFonts w:ascii="Georgia" w:cs="Georgia" w:eastAsia="Georgia" w:hAnsi="Georgia"/>
          <w:b w:val="false"/>
          <w:bCs w:val="false"/>
          <w:i w:val="false"/>
          <w:iCs w:val="false"/>
          <w:color w:val="2C3E50"/>
          <w:sz w:val="22"/>
          <w:szCs w:val="22"/>
        </w:rPr>
        <w:t xml:space="preserve">Platt's strong inference holds that progress depends on keeping multiple competing hypotheses alive and designing crucial experiments to exclude them, rather than becoming enthralled with one. Adversarial collaboration extends this to disputes between researchers, who agree in advance on a test that could resolve them. This both supports and sharpens MAGI: the gold-standard fields convert preserved dissent into a decisive test, which is why MAGI's crux must be a falsifiable question the human can act on, not merely a statement of where positions differ.</w:t>
      </w:r>
    </w:p>
    <w:p>
      <w:pPr>
        <w:spacing w:after="60" w:before="200"/>
      </w:pPr>
      <w:r>
        <w:rPr>
          <w:rFonts w:ascii="Georgia" w:cs="Georgia" w:eastAsia="Georgia" w:hAnsi="Georgia"/>
          <w:b/>
          <w:bCs/>
          <w:i/>
          <w:iCs/>
          <w:color w:val="2C3E50"/>
          <w:sz w:val="22"/>
          <w:szCs w:val="22"/>
        </w:rPr>
        <w:t xml:space="preserve">The judiciary and canon law — dissent as durable record</w:t>
      </w:r>
    </w:p>
    <w:p>
      <w:pPr>
        <w:spacing w:after="100" w:before="80" w:line="320" w:lineRule="auto"/>
      </w:pPr>
      <w:r>
        <w:rPr>
          <w:rFonts w:ascii="Georgia" w:cs="Georgia" w:eastAsia="Georgia" w:hAnsi="Georgia"/>
          <w:b w:val="false"/>
          <w:bCs w:val="false"/>
          <w:i w:val="false"/>
          <w:iCs w:val="false"/>
          <w:color w:val="2C3E50"/>
          <w:sz w:val="22"/>
          <w:szCs w:val="22"/>
        </w:rPr>
        <w:t xml:space="preserve">Appellate courts preserve written dissents as permanent co-equal artifacts, and Nemeth's work cites the high court as a setting where dissent improves reasoning. The advocatus diaboli was institutionalized in 1587 to argue against candidates for sainthood — a question admitting no experiment at all. Both are old recognitions that on questions without ground truth, a preserved contrary position is an asset to the integrity of the decision, not a failure to converge.</w:t>
      </w:r>
    </w:p>
    <w:p>
      <w:pPr>
        <w:spacing w:after="60" w:before="200"/>
      </w:pPr>
      <w:r>
        <w:rPr>
          <w:rFonts w:ascii="Georgia" w:cs="Georgia" w:eastAsia="Georgia" w:hAnsi="Georgia"/>
          <w:b/>
          <w:bCs/>
          <w:i/>
          <w:iCs/>
          <w:color w:val="2C3E50"/>
          <w:sz w:val="22"/>
          <w:szCs w:val="22"/>
        </w:rPr>
        <w:t xml:space="preserve">The unifying principle</w:t>
      </w:r>
    </w:p>
    <w:p>
      <w:pPr>
        <w:spacing w:after="100" w:before="80" w:line="320" w:lineRule="auto"/>
      </w:pPr>
      <w:r>
        <w:rPr>
          <w:rFonts w:ascii="Georgia" w:cs="Georgia" w:eastAsia="Georgia" w:hAnsi="Georgia"/>
          <w:b w:val="false"/>
          <w:bCs w:val="false"/>
          <w:i w:val="false"/>
          <w:iCs w:val="false"/>
          <w:color w:val="2C3E50"/>
          <w:sz w:val="22"/>
          <w:szCs w:val="22"/>
        </w:rPr>
        <w:t xml:space="preserve">These are not decoration. Every field above institutionalizes dissent under exactly MAGI's conditions — high stakes, costly error, no timely ground truth — and in every case dissent serves to prevent premature closure rather than to find the answer. Fields that have ground truth optimize for convergence; fields that do not have ensured dissent survives. MAGI applies the second tradition to the software decisions that mistakenly inherited the first tradition's tools.</w:t>
      </w:r>
    </w:p>
    <w:p>
      <w:pPr>
        <w:spacing w:after="0" w:before="240"/>
      </w:pPr>
      <w:r>
        <w:t xml:space="preserve"/>
      </w:r>
    </w:p>
    <w:p>
      <w:pPr>
        <w:shd w:fill="3B5A82" w:val="clear"/>
        <w:spacing w:after="120" w:before="120"/>
      </w:pPr>
      <w:r>
        <w:rPr>
          <w:rFonts w:ascii="Georgia" w:cs="Georgia" w:eastAsia="Georgia" w:hAnsi="Georgia"/>
          <w:b/>
          <w:bCs/>
          <w:color w:val="FFFFFF"/>
          <w:sz w:val="20"/>
          <w:szCs w:val="20"/>
        </w:rPr>
        <w:t xml:space="preserve">  TIER 2 — IMPLEMENTATION   ·   Defensible architecture, negotiable specifics</w:t>
      </w:r>
    </w:p>
    <w:p>
      <w:pPr>
        <w:pStyle w:val="Heading1"/>
        <w:pBdr>
          <w:bottom w:val="single" w:color="C0392B" w:sz="4" w:space="6"/>
        </w:pBdr>
        <w:spacing w:after="160" w:before="480"/>
      </w:pPr>
      <w:r>
        <w:rPr>
          <w:rFonts w:ascii="Georgia" w:cs="Georgia" w:eastAsia="Georgia" w:hAnsi="Georgia"/>
          <w:b/>
          <w:bCs/>
          <w:color w:val="1A1A2E"/>
          <w:sz w:val="34"/>
          <w:szCs w:val="34"/>
        </w:rPr>
        <w:t xml:space="preserve">4. Minimal Architecture</w:t>
      </w:r>
    </w:p>
    <w:p>
      <w:pPr>
        <w:spacing w:after="100" w:before="80" w:line="320" w:lineRule="auto"/>
      </w:pPr>
      <w:r>
        <w:rPr>
          <w:rFonts w:ascii="Georgia" w:cs="Georgia" w:eastAsia="Georgia" w:hAnsi="Georgia"/>
          <w:b w:val="false"/>
          <w:bCs w:val="false"/>
          <w:i w:val="false"/>
          <w:iCs w:val="false"/>
          <w:color w:val="2C3E50"/>
          <w:sz w:val="22"/>
          <w:szCs w:val="22"/>
        </w:rPr>
        <w:t xml:space="preserve">The architecture below is the smallest thing that delivers the core claim. Where a choice is genuinely arbitrary, it is marked as such rather than defended as necessary.</w:t>
      </w:r>
    </w:p>
    <w:p>
      <w:pPr>
        <w:pStyle w:val="Heading2"/>
        <w:spacing w:after="120" w:before="340"/>
      </w:pPr>
      <w:r>
        <w:rPr>
          <w:rFonts w:ascii="Georgia" w:cs="Georgia" w:eastAsia="Georgia" w:hAnsi="Georgia"/>
          <w:b/>
          <w:bCs/>
          <w:color w:val="1A1A2E"/>
          <w:sz w:val="27"/>
          <w:szCs w:val="27"/>
        </w:rPr>
        <w:t xml:space="preserve">4.1 The Panel</w:t>
      </w:r>
    </w:p>
    <w:p>
      <w:pPr>
        <w:spacing w:after="100" w:before="80" w:line="320" w:lineRule="auto"/>
      </w:pPr>
      <w:r>
        <w:rPr>
          <w:rFonts w:ascii="Georgia" w:cs="Georgia" w:eastAsia="Georgia" w:hAnsi="Georgia"/>
          <w:b w:val="false"/>
          <w:bCs w:val="false"/>
          <w:i w:val="false"/>
          <w:iCs w:val="false"/>
          <w:color w:val="2C3E50"/>
          <w:sz w:val="22"/>
          <w:szCs w:val="22"/>
        </w:rPr>
        <w:t xml:space="preserve">Three agents, each given a fixed reasoning mandate — not a personality, but a constraint on what kind of evidence it may invoke. A representative default: an empirical agent reasoning from data and measurable outcomes; a principled agent reasoning from duty, cost, and the interests of absent stakeholders; and a practitioner agent reasoning from pattern, precedent, and tacit experience.</w:t>
      </w:r>
    </w:p>
    <w:p>
      <w:pPr>
        <w:spacing w:after="100" w:before="80" w:line="320" w:lineRule="auto"/>
      </w:pPr>
      <w:r>
        <w:rPr>
          <w:rFonts w:ascii="Georgia" w:cs="Georgia" w:eastAsia="Georgia" w:hAnsi="Georgia"/>
          <w:b w:val="false"/>
          <w:bCs w:val="false"/>
          <w:i w:val="false"/>
          <w:iCs w:val="false"/>
          <w:color w:val="2C3E50"/>
          <w:sz w:val="22"/>
          <w:szCs w:val="22"/>
        </w:rPr>
        <w:t xml:space="preserve">The number three is a default, not a requirement. It is small enough to read, large enough to break ties, and matches the institutional analogs — but the system supports any odd number, and the specific personas are fully user-defined. Nothing in the core claim depends on there being exactly three agents or on these particular mandates. This is deliberately held loosely.</w:t>
      </w:r>
    </w:p>
    <w:p>
      <w:pPr>
        <w:pStyle w:val="Heading2"/>
        <w:spacing w:after="120" w:before="340"/>
      </w:pPr>
      <w:r>
        <w:rPr>
          <w:rFonts w:ascii="Georgia" w:cs="Georgia" w:eastAsia="Georgia" w:hAnsi="Georgia"/>
          <w:b/>
          <w:bCs/>
          <w:color w:val="1A1A2E"/>
          <w:sz w:val="27"/>
          <w:szCs w:val="27"/>
        </w:rPr>
        <w:t xml:space="preserve">4.2 The Protocol</w:t>
      </w:r>
    </w:p>
    <w:p>
      <w:pPr>
        <w:pStyle w:val="ListParagraph"/>
        <w:numPr>
          <w:ilvl w:val="0"/>
          <w:numId w:val="3"/>
        </w:numPr>
        <w:spacing w:after="60" w:before="60" w:line="300" w:lineRule="auto"/>
      </w:pPr>
      <w:r>
        <w:rPr>
          <w:rFonts w:ascii="Georgia" w:cs="Georgia" w:eastAsia="Georgia" w:hAnsi="Georgia"/>
          <w:b w:val="false"/>
          <w:bCs w:val="false"/>
          <w:color w:val="2C3E50"/>
          <w:sz w:val="22"/>
          <w:szCs w:val="22"/>
        </w:rPr>
        <w:t xml:space="preserve">Blind commitment. Each agent receives only the question and its own mandate, and commits a written rationale and a YES/NO position before seeing any peer output. This is the one protocol choice that is load-bearing: it is the difference between independent positions and a convergence cascade, and it is the strongest available mitigation (though not a cure) for the role-played-dissent problem.</w:t>
      </w:r>
    </w:p>
    <w:p>
      <w:pPr>
        <w:pStyle w:val="ListParagraph"/>
        <w:numPr>
          <w:ilvl w:val="0"/>
          <w:numId w:val="3"/>
        </w:numPr>
        <w:spacing w:after="60" w:before="60" w:line="300" w:lineRule="auto"/>
      </w:pPr>
      <w:r>
        <w:rPr>
          <w:rFonts w:ascii="Georgia" w:cs="Georgia" w:eastAsia="Georgia" w:hAnsi="Georgia"/>
          <w:b w:val="false"/>
          <w:bCs w:val="false"/>
          <w:color w:val="2C3E50"/>
          <w:sz w:val="22"/>
          <w:szCs w:val="22"/>
        </w:rPr>
        <w:t xml:space="preserve">Tabulation. Positions are counted against the threshold for the decision's reversibility tier (Section 5).</w:t>
      </w:r>
    </w:p>
    <w:p>
      <w:pPr>
        <w:pStyle w:val="ListParagraph"/>
        <w:numPr>
          <w:ilvl w:val="0"/>
          <w:numId w:val="3"/>
        </w:numPr>
        <w:spacing w:after="60" w:before="60" w:line="300" w:lineRule="auto"/>
      </w:pPr>
      <w:r>
        <w:rPr>
          <w:rFonts w:ascii="Georgia" w:cs="Georgia" w:eastAsia="Georgia" w:hAnsi="Georgia"/>
          <w:b w:val="false"/>
          <w:bCs w:val="false"/>
          <w:color w:val="2C3E50"/>
          <w:sz w:val="22"/>
          <w:szCs w:val="22"/>
        </w:rPr>
        <w:t xml:space="preserve">Crux extraction on a split. A separate neutral pass — not one of the three agents — reads all three rationales and produces the single falsifiable question whose resolution would most likely change the outcome. The crux is consequence-anchored: it names not only where the positions differ but the specific bad outcome the minority is reasoning about, so the minority report is actionable rather than merely descriptive. The crux, not the bare fact of disagreement, is the deliverable of a split. This refinement is owed to the medical multidisciplinary-board model, where the dissent that matters is the one tied to a named harm.</w:t>
      </w:r>
    </w:p>
    <w:p>
      <w:pPr>
        <w:pStyle w:val="ListParagraph"/>
        <w:numPr>
          <w:ilvl w:val="0"/>
          <w:numId w:val="3"/>
        </w:numPr>
        <w:spacing w:after="60" w:before="60" w:line="300" w:lineRule="auto"/>
      </w:pPr>
      <w:r>
        <w:rPr>
          <w:rFonts w:ascii="Georgia" w:cs="Georgia" w:eastAsia="Georgia" w:hAnsi="Georgia"/>
          <w:b w:val="false"/>
          <w:bCs w:val="false"/>
          <w:color w:val="2C3E50"/>
          <w:sz w:val="22"/>
          <w:szCs w:val="22"/>
        </w:rPr>
        <w:t xml:space="preserve">Concurrence detection on agreement. Agreement is not automatically treated as consensus. When the agents reach the same position for incompatible reasons — the software analog of a judicial concurrence — the record flags this as fragile agreement. Unanimity built on contradictory rationales is a signal that the shared position may not survive new information, and is materially different from unanimity built on convergent reasoning. This is owed to the appellate model, which has always distinguished a majority opinion from a collection of separate concurrences reaching the same result by different paths.</w:t>
      </w:r>
    </w:p>
    <w:p>
      <w:pPr>
        <w:pStyle w:val="ListParagraph"/>
        <w:numPr>
          <w:ilvl w:val="0"/>
          <w:numId w:val="3"/>
        </w:numPr>
        <w:spacing w:after="60" w:before="60" w:line="300" w:lineRule="auto"/>
      </w:pPr>
      <w:r>
        <w:rPr>
          <w:rFonts w:ascii="Georgia" w:cs="Georgia" w:eastAsia="Georgia" w:hAnsi="Georgia"/>
          <w:b w:val="false"/>
          <w:bCs w:val="false"/>
          <w:color w:val="2C3E50"/>
          <w:sz w:val="22"/>
          <w:szCs w:val="22"/>
        </w:rPr>
        <w:t xml:space="preserve">Record. The question, all rationales, the positions, and the outcome or crux are written to a durable record.</w:t>
      </w:r>
    </w:p>
    <w:p>
      <w:pPr>
        <w:pStyle w:val="Heading2"/>
        <w:spacing w:after="120" w:before="340"/>
      </w:pPr>
      <w:r>
        <w:rPr>
          <w:rFonts w:ascii="Georgia" w:cs="Georgia" w:eastAsia="Georgia" w:hAnsi="Georgia"/>
          <w:b/>
          <w:bCs/>
          <w:color w:val="1A1A2E"/>
          <w:sz w:val="27"/>
          <w:szCs w:val="27"/>
        </w:rPr>
        <w:t xml:space="preserve">4.3 No Synthesis Step</w:t>
      </w:r>
    </w:p>
    <w:p>
      <w:pPr>
        <w:spacing w:after="100" w:before="80" w:line="320" w:lineRule="auto"/>
      </w:pPr>
      <w:r>
        <w:rPr>
          <w:rFonts w:ascii="Georgia" w:cs="Georgia" w:eastAsia="Georgia" w:hAnsi="Georgia"/>
          <w:b w:val="false"/>
          <w:bCs w:val="false"/>
          <w:i w:val="false"/>
          <w:iCs w:val="false"/>
          <w:color w:val="2C3E50"/>
          <w:sz w:val="22"/>
          <w:szCs w:val="22"/>
        </w:rPr>
        <w:t xml:space="preserve">There is deliberately no agent that merges the three positions into a single answer, and no final recommendation beyond the prevailing position or the crux. This is the load-bearing architectural commitment. A synthesis step would re-dissolve exactly the dissent the system exists to preserve, collapsing MAGI back into the tools it is differentiated from. Removing synthesis is not a missing feature; it is the feature.</w:t>
      </w:r>
    </w:p>
    <w:p>
      <w:pPr>
        <w:pStyle w:val="Heading2"/>
        <w:spacing w:after="120" w:before="340"/>
      </w:pPr>
      <w:r>
        <w:rPr>
          <w:rFonts w:ascii="Georgia" w:cs="Georgia" w:eastAsia="Georgia" w:hAnsi="Georgia"/>
          <w:b/>
          <w:bCs/>
          <w:color w:val="1A1A2E"/>
          <w:sz w:val="27"/>
          <w:szCs w:val="27"/>
        </w:rPr>
        <w:t xml:space="preserve">4.4 The Record</w:t>
      </w:r>
    </w:p>
    <w:p>
      <w:pPr>
        <w:spacing w:after="100" w:before="80" w:line="320" w:lineRule="auto"/>
      </w:pPr>
      <w:r>
        <w:rPr>
          <w:rFonts w:ascii="Georgia" w:cs="Georgia" w:eastAsia="Georgia" w:hAnsi="Georgia"/>
          <w:b w:val="false"/>
          <w:bCs w:val="false"/>
          <w:i w:val="false"/>
          <w:iCs w:val="false"/>
          <w:color w:val="2C3E50"/>
          <w:sz w:val="22"/>
          <w:szCs w:val="22"/>
        </w:rPr>
        <w:t xml:space="preserve">Every deliberation is written to a durable local store — in the reference implementation, a single SQLite database — as a structured row: timestamp, question, the rationale and position of each agent, and the outcome or crux. This is a record, not a model: it stores what happened and makes it retrievable. The reference implementation also renders each record as a self-contained report file suitable for attaching to a pull request, a decision log, or a postmortem.</w:t>
      </w:r>
    </w:p>
    <w:p>
      <w:pPr>
        <w:spacing w:after="100" w:before="80" w:line="320" w:lineRule="auto"/>
      </w:pPr>
      <w:r>
        <w:rPr>
          <w:rFonts w:ascii="Georgia" w:cs="Georgia" w:eastAsia="Georgia" w:hAnsi="Georgia"/>
          <w:b w:val="false"/>
          <w:bCs w:val="false"/>
          <w:i w:val="false"/>
          <w:iCs w:val="false"/>
          <w:color w:val="2C3E50"/>
          <w:sz w:val="22"/>
          <w:szCs w:val="22"/>
        </w:rPr>
        <w:t xml:space="preserve">Scope note: the record stores and retrieves. It does not, in this tier, analyze, score, or learn. Any such capability is Tier 3 and is not assumed by anything here.</w:t>
      </w:r>
    </w:p>
    <w:p>
      <w:pPr>
        <w:spacing w:after="0" w:before="200"/>
      </w:pPr>
      <w:r>
        <w:t xml:space="preserve"/>
      </w:r>
    </w:p>
    <w:p>
      <w:pPr>
        <w:pStyle w:val="Heading1"/>
        <w:pBdr>
          <w:bottom w:val="single" w:color="C0392B" w:sz="4" w:space="6"/>
        </w:pBdr>
        <w:spacing w:after="160" w:before="480"/>
      </w:pPr>
      <w:r>
        <w:rPr>
          <w:rFonts w:ascii="Georgia" w:cs="Georgia" w:eastAsia="Georgia" w:hAnsi="Georgia"/>
          <w:b/>
          <w:bCs/>
          <w:color w:val="1A1A2E"/>
          <w:sz w:val="34"/>
          <w:szCs w:val="34"/>
        </w:rPr>
        <w:t xml:space="preserve">5. Two-Tier Decision Handling</w:t>
      </w:r>
    </w:p>
    <w:p>
      <w:pPr>
        <w:spacing w:after="100" w:before="80" w:line="320" w:lineRule="auto"/>
      </w:pPr>
      <w:r>
        <w:rPr>
          <w:rFonts w:ascii="Georgia" w:cs="Georgia" w:eastAsia="Georgia" w:hAnsi="Georgia"/>
          <w:b w:val="false"/>
          <w:bCs w:val="false"/>
          <w:i w:val="false"/>
          <w:iCs w:val="false"/>
          <w:color w:val="2C3E50"/>
          <w:sz w:val="22"/>
          <w:szCs w:val="22"/>
        </w:rPr>
        <w:t xml:space="preserve">An earlier draft proposed a four-tier classification with specific vote thresholds and fixed review intervals. That scheme is withdrawn: the tiers and the day-counts were asserted, not derived, and constituted attack surface out of proportion to their value. The hardened design collapses to the one distinction that is actually defensible — whether a decision is easy or hard to reverse — and declines to specify review intervals at all, leaving cadence to the user.</w:t>
      </w:r>
    </w:p>
    <w:p>
      <w:pPr>
        <w:spacing w:after="0" w:before="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700"/>
        <w:gridCol w:w="3400"/>
        <w:gridCol w:w="2300"/>
        <w:gridCol w:w="1960"/>
      </w:tblGrid>
      <w:tr>
        <w:trPr>
          <w:tblHeader/>
        </w:trPr>
        <w:tc>
          <w:tcPr>
            <w:tcBorders>
              <w:top w:val="single" w:color="FFFFFF" w:sz="1"/>
              <w:left w:val="single" w:color="FFFFFF" w:sz="1"/>
              <w:bottom w:val="single" w:color="FFFFFF" w:sz="1"/>
              <w:right w:val="single" w:color="FFFFFF" w:sz="1"/>
            </w:tcBorders>
            <w:shd w:fill="1A1A2E" w:val="clear"/>
            <w:tcMar>
              <w:top w:type="dxa" w:w="100"/>
              <w:left w:type="dxa" w:w="120"/>
              <w:bottom w:type="dxa" w:w="100"/>
              <w:right w:type="dxa" w:w="120"/>
            </w:tcMar>
          </w:tcPr>
          <w:p>
            <w:r>
              <w:rPr>
                <w:rFonts w:ascii="Georgia" w:cs="Georgia" w:eastAsia="Georgia" w:hAnsi="Georgia"/>
                <w:b/>
                <w:bCs/>
                <w:color w:val="FFFFFF"/>
                <w:sz w:val="18"/>
                <w:szCs w:val="18"/>
              </w:rPr>
              <w:t xml:space="preserve">Tier</w:t>
            </w:r>
          </w:p>
        </w:tc>
        <w:tc>
          <w:tcPr>
            <w:tcBorders>
              <w:top w:val="single" w:color="FFFFFF" w:sz="1"/>
              <w:left w:val="single" w:color="FFFFFF" w:sz="1"/>
              <w:bottom w:val="single" w:color="FFFFFF" w:sz="1"/>
              <w:right w:val="single" w:color="FFFFFF" w:sz="1"/>
            </w:tcBorders>
            <w:shd w:fill="1A1A2E" w:val="clear"/>
            <w:tcMar>
              <w:top w:type="dxa" w:w="100"/>
              <w:left w:type="dxa" w:w="120"/>
              <w:bottom w:type="dxa" w:w="100"/>
              <w:right w:type="dxa" w:w="120"/>
            </w:tcMar>
          </w:tcPr>
          <w:p>
            <w:r>
              <w:rPr>
                <w:rFonts w:ascii="Georgia" w:cs="Georgia" w:eastAsia="Georgia" w:hAnsi="Georgia"/>
                <w:b/>
                <w:bCs/>
                <w:color w:val="FFFFFF"/>
                <w:sz w:val="18"/>
                <w:szCs w:val="18"/>
              </w:rPr>
              <w:t xml:space="preserve">Definition</w:t>
            </w:r>
          </w:p>
        </w:tc>
        <w:tc>
          <w:tcPr>
            <w:tcBorders>
              <w:top w:val="single" w:color="FFFFFF" w:sz="1"/>
              <w:left w:val="single" w:color="FFFFFF" w:sz="1"/>
              <w:bottom w:val="single" w:color="FFFFFF" w:sz="1"/>
              <w:right w:val="single" w:color="FFFFFF" w:sz="1"/>
            </w:tcBorders>
            <w:shd w:fill="1A1A2E" w:val="clear"/>
            <w:tcMar>
              <w:top w:type="dxa" w:w="100"/>
              <w:left w:type="dxa" w:w="120"/>
              <w:bottom w:type="dxa" w:w="100"/>
              <w:right w:type="dxa" w:w="120"/>
            </w:tcMar>
          </w:tcPr>
          <w:p>
            <w:r>
              <w:rPr>
                <w:rFonts w:ascii="Georgia" w:cs="Georgia" w:eastAsia="Georgia" w:hAnsi="Georgia"/>
                <w:b/>
                <w:bCs/>
                <w:color w:val="FFFFFF"/>
                <w:sz w:val="18"/>
                <w:szCs w:val="18"/>
              </w:rPr>
              <w:t xml:space="preserve">Threshold to act</w:t>
            </w:r>
          </w:p>
        </w:tc>
        <w:tc>
          <w:tcPr>
            <w:tcBorders>
              <w:top w:val="single" w:color="FFFFFF" w:sz="1"/>
              <w:left w:val="single" w:color="FFFFFF" w:sz="1"/>
              <w:bottom w:val="single" w:color="FFFFFF" w:sz="1"/>
              <w:right w:val="single" w:color="FFFFFF" w:sz="1"/>
            </w:tcBorders>
            <w:shd w:fill="1A1A2E" w:val="clear"/>
            <w:tcMar>
              <w:top w:type="dxa" w:w="100"/>
              <w:left w:type="dxa" w:w="120"/>
              <w:bottom w:type="dxa" w:w="100"/>
              <w:right w:type="dxa" w:w="120"/>
            </w:tcMar>
          </w:tcPr>
          <w:p>
            <w:r>
              <w:rPr>
                <w:rFonts w:ascii="Georgia" w:cs="Georgia" w:eastAsia="Georgia" w:hAnsi="Georgia"/>
                <w:b/>
                <w:bCs/>
                <w:color w:val="FFFFFF"/>
                <w:sz w:val="18"/>
                <w:szCs w:val="18"/>
              </w:rPr>
              <w:t xml:space="preserve">On a split</w:t>
            </w:r>
          </w:p>
        </w:tc>
      </w:tr>
      <w:tr>
        <w:tc>
          <w:tcPr>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2C3E50"/>
                <w:sz w:val="19"/>
                <w:szCs w:val="19"/>
              </w:rPr>
              <w:t xml:space="preserve">Reversible</w:t>
            </w:r>
          </w:p>
        </w:tc>
        <w:tc>
          <w:tcPr>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2C3E50"/>
                <w:sz w:val="19"/>
                <w:szCs w:val="19"/>
              </w:rPr>
              <w:t xml:space="preserve">The decision can be undone at acceptable cost if it proves wrong.</w:t>
            </w:r>
          </w:p>
        </w:tc>
        <w:tc>
          <w:tcPr>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2C3E50"/>
                <w:sz w:val="19"/>
                <w:szCs w:val="19"/>
              </w:rPr>
              <w:t xml:space="preserve">Simple majority</w:t>
            </w:r>
          </w:p>
        </w:tc>
        <w:tc>
          <w:tcPr>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2C3E50"/>
                <w:sz w:val="19"/>
                <w:szCs w:val="19"/>
              </w:rPr>
              <w:t xml:space="preserve">Majority acts; minority rationale retained in the record.</w:t>
            </w:r>
          </w:p>
        </w:tc>
      </w:tr>
      <w:tr>
        <w:tc>
          <w:tcPr>
            <w:tcBorders>
              <w:top w:val="single" w:color="CCCCCC" w:sz="1"/>
              <w:left w:val="single" w:color="CCCCCC" w:sz="1"/>
              <w:bottom w:val="single" w:color="CCCCCC" w:sz="1"/>
              <w:right w:val="single" w:color="CCCCCC" w:sz="1"/>
            </w:tcBorders>
            <w:shd w:fill="F4F4F8" w:val="clear"/>
            <w:tcMar>
              <w:top w:type="dxa" w:w="80"/>
              <w:left w:type="dxa" w:w="120"/>
              <w:bottom w:type="dxa" w:w="80"/>
              <w:right w:type="dxa" w:w="120"/>
            </w:tcMar>
          </w:tcPr>
          <w:p>
            <w:r>
              <w:rPr>
                <w:rFonts w:ascii="Georgia" w:cs="Georgia" w:eastAsia="Georgia" w:hAnsi="Georgia"/>
                <w:color w:val="2C3E50"/>
                <w:sz w:val="19"/>
                <w:szCs w:val="19"/>
              </w:rPr>
              <w:t xml:space="preserve">Hard to reverse</w:t>
            </w:r>
          </w:p>
        </w:tc>
        <w:tc>
          <w:tcPr>
            <w:tcBorders>
              <w:top w:val="single" w:color="CCCCCC" w:sz="1"/>
              <w:left w:val="single" w:color="CCCCCC" w:sz="1"/>
              <w:bottom w:val="single" w:color="CCCCCC" w:sz="1"/>
              <w:right w:val="single" w:color="CCCCCC" w:sz="1"/>
            </w:tcBorders>
            <w:shd w:fill="F4F4F8" w:val="clear"/>
            <w:tcMar>
              <w:top w:type="dxa" w:w="80"/>
              <w:left w:type="dxa" w:w="120"/>
              <w:bottom w:type="dxa" w:w="80"/>
              <w:right w:type="dxa" w:w="120"/>
            </w:tcMar>
          </w:tcPr>
          <w:p>
            <w:r>
              <w:rPr>
                <w:rFonts w:ascii="Georgia" w:cs="Georgia" w:eastAsia="Georgia" w:hAnsi="Georgia"/>
                <w:color w:val="2C3E50"/>
                <w:sz w:val="19"/>
                <w:szCs w:val="19"/>
              </w:rPr>
              <w:t xml:space="preserve">The decision forecloses options or is costly to undo.</w:t>
            </w:r>
          </w:p>
        </w:tc>
        <w:tc>
          <w:tcPr>
            <w:tcBorders>
              <w:top w:val="single" w:color="CCCCCC" w:sz="1"/>
              <w:left w:val="single" w:color="CCCCCC" w:sz="1"/>
              <w:bottom w:val="single" w:color="CCCCCC" w:sz="1"/>
              <w:right w:val="single" w:color="CCCCCC" w:sz="1"/>
            </w:tcBorders>
            <w:shd w:fill="F4F4F8" w:val="clear"/>
            <w:tcMar>
              <w:top w:type="dxa" w:w="80"/>
              <w:left w:type="dxa" w:w="120"/>
              <w:bottom w:type="dxa" w:w="80"/>
              <w:right w:type="dxa" w:w="120"/>
            </w:tcMar>
          </w:tcPr>
          <w:p>
            <w:r>
              <w:rPr>
                <w:rFonts w:ascii="Georgia" w:cs="Georgia" w:eastAsia="Georgia" w:hAnsi="Georgia"/>
                <w:color w:val="2C3E50"/>
                <w:sz w:val="19"/>
                <w:szCs w:val="19"/>
              </w:rPr>
              <w:t xml:space="preserve">Caller chooses: require unanimity, or proceed on majority with the dissent surfaced prominently.</w:t>
            </w:r>
          </w:p>
        </w:tc>
        <w:tc>
          <w:tcPr>
            <w:tcBorders>
              <w:top w:val="single" w:color="CCCCCC" w:sz="1"/>
              <w:left w:val="single" w:color="CCCCCC" w:sz="1"/>
              <w:bottom w:val="single" w:color="CCCCCC" w:sz="1"/>
              <w:right w:val="single" w:color="CCCCCC" w:sz="1"/>
            </w:tcBorders>
            <w:shd w:fill="F4F4F8" w:val="clear"/>
            <w:tcMar>
              <w:top w:type="dxa" w:w="80"/>
              <w:left w:type="dxa" w:w="120"/>
              <w:bottom w:type="dxa" w:w="80"/>
              <w:right w:type="dxa" w:w="120"/>
            </w:tcMar>
          </w:tcPr>
          <w:p>
            <w:r>
              <w:rPr>
                <w:rFonts w:ascii="Georgia" w:cs="Georgia" w:eastAsia="Georgia" w:hAnsi="Georgia"/>
                <w:color w:val="2C3E50"/>
                <w:sz w:val="19"/>
                <w:szCs w:val="19"/>
              </w:rPr>
              <w:t xml:space="preserve">No forced verdict. The crux is produced and the decision is escalated to a human with all positions intact.</w:t>
            </w:r>
          </w:p>
        </w:tc>
      </w:tr>
    </w:tbl>
    <w:p>
      <w:pPr>
        <w:spacing w:after="0" w:before="120"/>
      </w:pPr>
      <w:r>
        <w:t xml:space="preserve"/>
      </w:r>
    </w:p>
    <w:p>
      <w:pPr>
        <w:spacing w:after="100" w:before="80" w:line="320" w:lineRule="auto"/>
      </w:pPr>
      <w:r>
        <w:rPr>
          <w:rFonts w:ascii="Georgia" w:cs="Georgia" w:eastAsia="Georgia" w:hAnsi="Georgia"/>
          <w:b w:val="false"/>
          <w:bCs w:val="false"/>
          <w:i w:val="false"/>
          <w:iCs w:val="false"/>
          <w:color w:val="2C3E50"/>
          <w:sz w:val="22"/>
          <w:szCs w:val="22"/>
        </w:rPr>
        <w:t xml:space="preserve">Two honest concessions. First, who classifies a decision is itself a judgment, and a caller can mis-tier a hard decision as reversible to dodge the higher bar; the system cannot prevent this and does not claim to. Second, the boundary between the tiers is fuzzy. Both concessions are acceptable because the two-tier scheme claims far less than the four-tier one did, and the residual ambiguity does not touch the core claim.</w:t>
      </w:r>
    </w:p>
    <w:p>
      <w:pPr>
        <w:spacing w:after="0" w:before="200"/>
      </w:pPr>
      <w:r>
        <w:t xml:space="preserve"/>
      </w:r>
    </w:p>
    <w:p>
      <w:pPr>
        <w:pStyle w:val="Heading1"/>
        <w:pBdr>
          <w:bottom w:val="single" w:color="C0392B" w:sz="4" w:space="6"/>
        </w:pBdr>
        <w:spacing w:after="160" w:before="480"/>
      </w:pPr>
      <w:r>
        <w:rPr>
          <w:rFonts w:ascii="Georgia" w:cs="Georgia" w:eastAsia="Georgia" w:hAnsi="Georgia"/>
          <w:b/>
          <w:bCs/>
          <w:color w:val="1A1A2E"/>
          <w:sz w:val="34"/>
          <w:szCs w:val="34"/>
        </w:rPr>
        <w:t xml:space="preserve">6. The Report Artifact</w:t>
      </w:r>
    </w:p>
    <w:p>
      <w:pPr>
        <w:spacing w:after="100" w:before="80" w:line="320" w:lineRule="auto"/>
      </w:pPr>
      <w:r>
        <w:rPr>
          <w:rFonts w:ascii="Georgia" w:cs="Georgia" w:eastAsia="Georgia" w:hAnsi="Georgia"/>
          <w:b w:val="false"/>
          <w:bCs w:val="false"/>
          <w:i w:val="false"/>
          <w:iCs w:val="false"/>
          <w:color w:val="2C3E50"/>
          <w:sz w:val="22"/>
          <w:szCs w:val="22"/>
        </w:rPr>
        <w:t xml:space="preserve">The rendered report is the primary deliverable: a self-contained file that makes a contested decision's reasoning permanently accessible and attachable. Its content is what matters — question, all positions in full, outcome or crux, and a retrievable identifier. The minority position is shown at the same visual weight as the prevailing one and is labelled as a position on record, never as an error, reflecting the principle that an outvoted qualified position has not been disproven.</w:t>
      </w:r>
    </w:p>
    <w:p>
      <w:pPr>
        <w:spacing w:after="100" w:before="80" w:line="320" w:lineRule="auto"/>
      </w:pPr>
      <w:r>
        <w:rPr>
          <w:rFonts w:ascii="Georgia" w:cs="Georgia" w:eastAsia="Georgia" w:hAnsi="Georgia"/>
          <w:b w:val="false"/>
          <w:bCs w:val="false"/>
          <w:i w:val="false"/>
          <w:iCs w:val="false"/>
          <w:color w:val="2C3E50"/>
          <w:sz w:val="22"/>
          <w:szCs w:val="22"/>
        </w:rPr>
        <w:t xml:space="preserve">The visual styling of the report — discussed in Tier 3 — is severable. A plain-text or minimally-formatted report delivers the entire core claim. The aesthetic exists for memorability and distribution, and the argument does not depend on it.</w:t>
      </w:r>
    </w:p>
    <w:p>
      <w:pPr>
        <w:spacing w:after="0" w:before="240"/>
      </w:pPr>
      <w:r>
        <w:t xml:space="preserve"/>
      </w:r>
    </w:p>
    <w:p>
      <w:pPr>
        <w:shd w:fill="92400E" w:val="clear"/>
        <w:spacing w:after="120" w:before="120"/>
      </w:pPr>
      <w:r>
        <w:rPr>
          <w:rFonts w:ascii="Georgia" w:cs="Georgia" w:eastAsia="Georgia" w:hAnsi="Georgia"/>
          <w:b/>
          <w:bCs/>
          <w:color w:val="FFFFFF"/>
          <w:sz w:val="20"/>
          <w:szCs w:val="20"/>
        </w:rPr>
        <w:t xml:space="preserve">  TIER 3 — SEVERABLE   ·   Inspiration and aspiration, not required for the system to work</w:t>
      </w:r>
    </w:p>
    <w:p>
      <w:pPr>
        <w:pStyle w:val="Heading1"/>
        <w:pBdr>
          <w:bottom w:val="single" w:color="C0392B" w:sz="4" w:space="6"/>
        </w:pBdr>
        <w:spacing w:after="160" w:before="480"/>
      </w:pPr>
      <w:r>
        <w:rPr>
          <w:rFonts w:ascii="Georgia" w:cs="Georgia" w:eastAsia="Georgia" w:hAnsi="Georgia"/>
          <w:b/>
          <w:bCs/>
          <w:color w:val="1A1A2E"/>
          <w:sz w:val="34"/>
          <w:szCs w:val="34"/>
        </w:rPr>
        <w:t xml:space="preserve">7. Inspirations (Severable)</w:t>
      </w:r>
    </w:p>
    <w:p>
      <w:pPr>
        <w:spacing w:after="100" w:before="80" w:line="320" w:lineRule="auto"/>
      </w:pPr>
      <w:r>
        <w:rPr>
          <w:rFonts w:ascii="Georgia" w:cs="Georgia" w:eastAsia="Georgia" w:hAnsi="Georgia"/>
          <w:b w:val="false"/>
          <w:bCs w:val="false"/>
          <w:i w:val="false"/>
          <w:iCs w:val="false"/>
          <w:color w:val="2C3E50"/>
          <w:sz w:val="22"/>
          <w:szCs w:val="22"/>
        </w:rPr>
        <w:t xml:space="preserve">Everything in this section is motivation, not justification. The test applied throughout: delete every name and reference here, and the argument of Tiers 1 and 2 is unchanged. These traditions are resonances that make the design legible and memorable; they are not premises, and the design team explicitly disclaims any reliance on them to carry the argument.</w:t>
      </w:r>
    </w:p>
    <w:p>
      <w:pPr>
        <w:pStyle w:val="Heading2"/>
        <w:spacing w:after="120" w:before="340"/>
      </w:pPr>
      <w:r>
        <w:rPr>
          <w:rFonts w:ascii="Georgia" w:cs="Georgia" w:eastAsia="Georgia" w:hAnsi="Georgia"/>
          <w:b/>
          <w:bCs/>
          <w:color w:val="1A1A2E"/>
          <w:sz w:val="27"/>
          <w:szCs w:val="27"/>
        </w:rPr>
        <w:t xml:space="preserve">7.1 The Naming and Aesthetic</w:t>
      </w:r>
    </w:p>
    <w:p>
      <w:pPr>
        <w:spacing w:after="100" w:before="80" w:line="320" w:lineRule="auto"/>
      </w:pPr>
      <w:r>
        <w:rPr>
          <w:rFonts w:ascii="Georgia" w:cs="Georgia" w:eastAsia="Georgia" w:hAnsi="Georgia"/>
          <w:b w:val="false"/>
          <w:bCs w:val="false"/>
          <w:i w:val="false"/>
          <w:iCs w:val="false"/>
          <w:color w:val="2C3E50"/>
          <w:sz w:val="22"/>
          <w:szCs w:val="22"/>
        </w:rPr>
        <w:t xml:space="preserve">The system's name and the visual identity of its reports derive from the MAGI supercomputer of Neon Genesis Evangelion: three deliberating systems decomposed from one mind, casting binding votes with no synthesis step. The resonance is real and useful for communication. It is also entirely cosmetic. A reviewer who finds the reference distracting should mentally rename the system; nothing changes.</w:t>
      </w:r>
    </w:p>
    <w:p>
      <w:pPr>
        <w:pStyle w:val="Heading2"/>
        <w:spacing w:after="120" w:before="340"/>
      </w:pPr>
      <w:r>
        <w:rPr>
          <w:rFonts w:ascii="Georgia" w:cs="Georgia" w:eastAsia="Georgia" w:hAnsi="Georgia"/>
          <w:b/>
          <w:bCs/>
          <w:color w:val="1A1A2E"/>
          <w:sz w:val="27"/>
          <w:szCs w:val="27"/>
        </w:rPr>
        <w:t xml:space="preserve">7.2 Intellectual Resonances, and Their Limits</w:t>
      </w:r>
    </w:p>
    <w:p>
      <w:pPr>
        <w:spacing w:after="100" w:before="80" w:line="320" w:lineRule="auto"/>
      </w:pPr>
      <w:r>
        <w:rPr>
          <w:rFonts w:ascii="Georgia" w:cs="Georgia" w:eastAsia="Georgia" w:hAnsi="Georgia"/>
          <w:b w:val="false"/>
          <w:bCs w:val="false"/>
          <w:i w:val="false"/>
          <w:iCs w:val="false"/>
          <w:color w:val="2C3E50"/>
          <w:sz w:val="22"/>
          <w:szCs w:val="22"/>
        </w:rPr>
        <w:t xml:space="preserve">Several traditions describe preserved disagreement in ways that resonate with the design. We state plainly what each does and does not license.</w:t>
      </w:r>
    </w:p>
    <w:p>
      <w:pPr>
        <w:pStyle w:val="ListParagraph"/>
        <w:numPr>
          <w:ilvl w:val="0"/>
          <w:numId w:val="2"/>
        </w:numPr>
        <w:spacing w:after="60" w:before="60" w:line="300" w:lineRule="auto"/>
      </w:pPr>
      <w:r>
        <w:rPr>
          <w:rFonts w:ascii="Georgia" w:cs="Georgia" w:eastAsia="Georgia" w:hAnsi="Georgia"/>
          <w:b w:val="false"/>
          <w:bCs w:val="false"/>
          <w:i w:val="false"/>
          <w:iCs w:val="false"/>
          <w:color w:val="2C3E50"/>
          <w:sz w:val="22"/>
          <w:szCs w:val="22"/>
        </w:rPr>
        <w:t xml:space="preserve">The Supreme Court's preserved dissent is the cleanest institutional analog — concurrent independent reasoning, a binding majority, and a permanent minority record. This is genuine support and is cited as evidence in Tier 1, Section 3.3, not merely as inspiration.</w:t>
      </w:r>
    </w:p>
    <w:p>
      <w:pPr>
        <w:pStyle w:val="ListParagraph"/>
        <w:numPr>
          <w:ilvl w:val="0"/>
          <w:numId w:val="2"/>
        </w:numPr>
        <w:spacing w:after="60" w:before="60" w:line="300" w:lineRule="auto"/>
      </w:pPr>
      <w:r>
        <w:rPr>
          <w:rFonts w:ascii="Georgia" w:cs="Georgia" w:eastAsia="Georgia" w:hAnsi="Georgia"/>
          <w:b w:val="false"/>
          <w:bCs w:val="false"/>
          <w:i w:val="false"/>
          <w:iCs w:val="false"/>
          <w:color w:val="2C3E50"/>
          <w:sz w:val="22"/>
          <w:szCs w:val="22"/>
        </w:rPr>
        <w:t xml:space="preserve">Islamic juristic disagreement (ikhtilaf) and the ethics of conducting it (adab al-ikhtilaf) offer a rich vocabulary of principled plurality. We flag honestly that the classical arguments — for example, Ibn Rushd on the impossibility of consensus in theoretical matters — concern metaphysical and legal questions, not engineering trade-offs, and so are illustrative resonance rather than a transferable proof. Importing the conclusion while acknowledging the argument does not directly carry is the honest posture, and we do not lean on these references to establish anything.</w:t>
      </w:r>
    </w:p>
    <w:p>
      <w:pPr>
        <w:pStyle w:val="ListParagraph"/>
        <w:numPr>
          <w:ilvl w:val="0"/>
          <w:numId w:val="2"/>
        </w:numPr>
        <w:spacing w:after="60" w:before="60" w:line="300" w:lineRule="auto"/>
      </w:pPr>
      <w:r>
        <w:rPr>
          <w:rFonts w:ascii="Georgia" w:cs="Georgia" w:eastAsia="Georgia" w:hAnsi="Georgia"/>
          <w:b w:val="false"/>
          <w:bCs w:val="false"/>
          <w:i w:val="false"/>
          <w:iCs w:val="false"/>
          <w:color w:val="2C3E50"/>
          <w:sz w:val="22"/>
          <w:szCs w:val="22"/>
        </w:rPr>
        <w:t xml:space="preserve">Minsky's society-of-mind and the broader idea that interacting specialized agents produce capability none holds alone is the computational backdrop. It motivates the panel structure but is not required to justify preserving the record.</w:t>
      </w:r>
    </w:p>
    <w:p>
      <w:pPr>
        <w:spacing w:after="100" w:before="80" w:line="320" w:lineRule="auto"/>
      </w:pPr>
      <w:r>
        <w:rPr>
          <w:rFonts w:ascii="Georgia" w:cs="Georgia" w:eastAsia="Georgia" w:hAnsi="Georgia"/>
          <w:b w:val="false"/>
          <w:bCs w:val="false"/>
          <w:i w:val="false"/>
          <w:iCs w:val="false"/>
          <w:color w:val="2C3E50"/>
          <w:sz w:val="22"/>
          <w:szCs w:val="22"/>
        </w:rPr>
        <w:t xml:space="preserve">If any of these references were shown to be misapplied, the correct response would be to delete the reference, not to revise the design. That is the definition of severable, and it is why they are quarantined here.</w:t>
      </w:r>
    </w:p>
    <w:p>
      <w:pPr>
        <w:pStyle w:val="Heading2"/>
        <w:spacing w:after="120" w:before="340"/>
      </w:pPr>
      <w:r>
        <w:rPr>
          <w:rFonts w:ascii="Georgia" w:cs="Georgia" w:eastAsia="Georgia" w:hAnsi="Georgia"/>
          <w:b/>
          <w:bCs/>
          <w:color w:val="1A1A2E"/>
          <w:sz w:val="27"/>
          <w:szCs w:val="27"/>
        </w:rPr>
        <w:t xml:space="preserve">7.3 Aspirational Features (Unvalidated)</w:t>
      </w:r>
    </w:p>
    <w:p>
      <w:pPr>
        <w:spacing w:after="100" w:before="80" w:line="320" w:lineRule="auto"/>
      </w:pPr>
      <w:r>
        <w:rPr>
          <w:rFonts w:ascii="Georgia" w:cs="Georgia" w:eastAsia="Georgia" w:hAnsi="Georgia"/>
          <w:b w:val="false"/>
          <w:bCs w:val="false"/>
          <w:i w:val="false"/>
          <w:iCs w:val="false"/>
          <w:color w:val="2C3E50"/>
          <w:sz w:val="22"/>
          <w:szCs w:val="22"/>
        </w:rPr>
        <w:t xml:space="preserve">The following were proposed in earlier drafts as part of the core system. They are withdrawn to Tier 3 because they claim capabilities the design cannot currently substantiate, and because each widened the attack surface more than it strengthened the product.</w:t>
      </w:r>
    </w:p>
    <w:p>
      <w:pPr>
        <w:pStyle w:val="ListParagraph"/>
        <w:numPr>
          <w:ilvl w:val="0"/>
          <w:numId w:val="2"/>
        </w:numPr>
        <w:spacing w:after="60" w:before="60" w:line="300" w:lineRule="auto"/>
      </w:pPr>
      <w:r>
        <w:rPr>
          <w:rFonts w:ascii="Georgia" w:cs="Georgia" w:eastAsia="Georgia" w:hAnsi="Georgia"/>
          <w:b w:val="false"/>
          <w:bCs w:val="false"/>
          <w:i w:val="false"/>
          <w:iCs w:val="false"/>
          <w:color w:val="2C3E50"/>
          <w:sz w:val="22"/>
          <w:szCs w:val="22"/>
        </w:rPr>
        <w:t xml:space="preserve">Calibration and retrospective vindication tracking. The idea that the record could, over time, reveal which persona's dissents tend to be vindicated and weight future deliberations accordingly. This is withdrawn from the core for three reasons: vindication is frequently unmeasurable because the counterfactual is never observed; user-marked vindication invites hindsight bias; and a persistent who-was-right ledger is a real liability in adversarial or legal contexts. It is retained only as a speculative research direction, claimed by nothing in Tiers 1 or 2.</w:t>
      </w:r>
    </w:p>
    <w:p>
      <w:pPr>
        <w:pStyle w:val="ListParagraph"/>
        <w:numPr>
          <w:ilvl w:val="0"/>
          <w:numId w:val="2"/>
        </w:numPr>
        <w:spacing w:after="60" w:before="60" w:line="300" w:lineRule="auto"/>
      </w:pPr>
      <w:r>
        <w:rPr>
          <w:rFonts w:ascii="Georgia" w:cs="Georgia" w:eastAsia="Georgia" w:hAnsi="Georgia"/>
          <w:b w:val="false"/>
          <w:bCs w:val="false"/>
          <w:i w:val="false"/>
          <w:iCs w:val="false"/>
          <w:color w:val="2C3E50"/>
          <w:sz w:val="22"/>
          <w:szCs w:val="22"/>
        </w:rPr>
        <w:t xml:space="preserve">Fixed review cadences (the former 30 / 90 / 365-day intervals). Withdrawn as arbitrary. Review cadence, if any, is left to the user.</w:t>
      </w:r>
    </w:p>
    <w:p>
      <w:pPr>
        <w:pStyle w:val="ListParagraph"/>
        <w:numPr>
          <w:ilvl w:val="0"/>
          <w:numId w:val="2"/>
        </w:numPr>
        <w:spacing w:after="60" w:before="60" w:line="300" w:lineRule="auto"/>
      </w:pPr>
      <w:r>
        <w:rPr>
          <w:rFonts w:ascii="Georgia" w:cs="Georgia" w:eastAsia="Georgia" w:hAnsi="Georgia"/>
          <w:b w:val="false"/>
          <w:bCs w:val="false"/>
          <w:i w:val="false"/>
          <w:iCs w:val="false"/>
          <w:color w:val="2C3E50"/>
          <w:sz w:val="22"/>
          <w:szCs w:val="22"/>
        </w:rPr>
        <w:t xml:space="preserve">Elaborate persona libraries and domain presets. A convenience, not a capability. Useful for onboarding; irrelevant to whether the core claim holds.</w:t>
      </w:r>
    </w:p>
    <w:p>
      <w:pPr>
        <w:spacing w:after="0" w:before="200"/>
      </w:pPr>
      <w:r>
        <w:t xml:space="preserve"/>
      </w:r>
    </w:p>
    <w:p>
      <w:pPr>
        <w:pStyle w:val="Heading1"/>
        <w:pBdr>
          <w:bottom w:val="single" w:color="C0392B" w:sz="4" w:space="6"/>
        </w:pBdr>
        <w:spacing w:after="160" w:before="480"/>
      </w:pPr>
      <w:r>
        <w:rPr>
          <w:rFonts w:ascii="Georgia" w:cs="Georgia" w:eastAsia="Georgia" w:hAnsi="Georgia"/>
          <w:b/>
          <w:bCs/>
          <w:color w:val="1A1A2E"/>
          <w:sz w:val="34"/>
          <w:szCs w:val="34"/>
        </w:rPr>
        <w:t xml:space="preserve">8. The Central Contrast: Synthesis Tools</w:t>
      </w:r>
    </w:p>
    <w:p>
      <w:pPr>
        <w:spacing w:after="100" w:before="80" w:line="320" w:lineRule="auto"/>
      </w:pPr>
      <w:r>
        <w:rPr>
          <w:rFonts w:ascii="Georgia" w:cs="Georgia" w:eastAsia="Georgia" w:hAnsi="Georgia"/>
          <w:b w:val="false"/>
          <w:bCs w:val="false"/>
          <w:i w:val="false"/>
          <w:iCs w:val="false"/>
          <w:color w:val="2C3E50"/>
          <w:sz w:val="22"/>
          <w:szCs w:val="22"/>
        </w:rPr>
        <w:t xml:space="preserve">The clearest way to locate MAGI is against the well-resourced synthesis tools it inverts — exemplified by OpenRouter's Fusion, which sends a prompt to several models in parallel, runs a judge to analyze their outputs, and synthesizes the strongest parts into one answer. MAGI and such tools share a premise — no single model is reliably best — and diverge at the decisive step. Fusion consumes the disagreement to produce a superior answer; MAGI preserves the disagreement to produce an accountable record. Fusion optimizes output quality on questions with answers; MAGI preserves reasoning on questions without them.</w:t>
      </w:r>
    </w:p>
    <w:p>
      <w:pPr>
        <w:spacing w:after="100" w:before="80" w:line="320" w:lineRule="auto"/>
      </w:pPr>
      <w:r>
        <w:rPr>
          <w:rFonts w:ascii="Georgia" w:cs="Georgia" w:eastAsia="Georgia" w:hAnsi="Georgia"/>
          <w:b w:val="false"/>
          <w:bCs w:val="false"/>
          <w:i w:val="false"/>
          <w:iCs w:val="false"/>
          <w:color w:val="2C3E50"/>
          <w:sz w:val="22"/>
          <w:szCs w:val="22"/>
        </w:rPr>
        <w:t xml:space="preserve">Tellingly, unprompted user feedback on such tools surfaces MAGI's exact thesis: when several models contribute to one output, the governance surface expands — who owns the audit trail, which model drove the outcome — and the teams that benefit most pair synthesis with clear ownership of the decision layer, not just the output-quality layer. That decision layer, with its preserved reasoning, is what MAGI is.</w:t>
      </w:r>
    </w:p>
    <w:p>
      <w:pPr>
        <w:spacing w:after="100" w:before="80" w:line="320" w:lineRule="auto"/>
      </w:pPr>
      <w:r>
        <w:rPr>
          <w:rFonts w:ascii="Georgia" w:cs="Georgia" w:eastAsia="Georgia" w:hAnsi="Georgia"/>
          <w:b w:val="false"/>
          <w:bCs w:val="false"/>
          <w:i w:val="false"/>
          <w:iCs w:val="false"/>
          <w:color w:val="2C3E50"/>
          <w:sz w:val="22"/>
          <w:szCs w:val="22"/>
        </w:rPr>
        <w:t xml:space="preserve">This relationship is also why MAGI need not compete with such tools at the infrastructure level. Their parallel-dispatch machinery can serve as MAGI's fan-out; their pre-synthesis judging step is structurally the same as MAGI's crux extraction with the goal inverted (best combination versus irreducible disagreement). Standing on the infrastructure while rejecting the synthesis philosophy is a coherent deployment posture. And on the competitive worry that an incumbent could add a keep-the-minority-report toggle: if that happens, the thesis has won, and an early, clean implementation plus the bounded argument is the only durable advantage a small project realistically holds.</w:t>
      </w:r>
    </w:p>
    <w:p>
      <w:pPr>
        <w:pStyle w:val="Heading2"/>
        <w:spacing w:after="120" w:before="340"/>
      </w:pPr>
      <w:r>
        <w:rPr>
          <w:rFonts w:ascii="Georgia" w:cs="Georgia" w:eastAsia="Georgia" w:hAnsi="Georgia"/>
          <w:b/>
          <w:bCs/>
          <w:color w:val="1A1A2E"/>
          <w:sz w:val="27"/>
          <w:szCs w:val="27"/>
        </w:rPr>
        <w:t xml:space="preserve">8.1 A Second Contrast: Forensic Trace vs. Deliberative Record</w:t>
      </w:r>
    </w:p>
    <w:p>
      <w:pPr>
        <w:spacing w:after="100" w:before="80" w:line="320" w:lineRule="auto"/>
      </w:pPr>
      <w:r>
        <w:rPr>
          <w:rFonts w:ascii="Georgia" w:cs="Georgia" w:eastAsia="Georgia" w:hAnsi="Georgia"/>
          <w:b w:val="false"/>
          <w:bCs w:val="false"/>
          <w:i w:val="false"/>
          <w:iCs w:val="false"/>
          <w:color w:val="2C3E50"/>
          <w:sz w:val="22"/>
          <w:szCs w:val="22"/>
        </w:rPr>
        <w:t xml:space="preserve">A more sophisticated adjacent idea is the decision trace, or context graph — the argument, advanced by several systems-of-agents investors and startups, that the durable asset of the agent era is a record of how decisions were actually made: what inputs were gathered across systems, which policy applied, who approved the exception, what state was written. This is correct and important, and it independently confirms MAGI's core premise that the reasoning connecting data to action was never itself treated as data. It also confirms MAGI's boundary: the valuable surfaces in that framing are explicitly the exception-heavy decisions where precedent matters and 'it depends' is the honest answer, and the routine deterministic workflows are explicitly excluded — the same epistemic-versus-deliberative line, drawn independently.</w:t>
      </w:r>
    </w:p>
    <w:p>
      <w:pPr>
        <w:spacing w:after="100" w:before="80" w:line="320" w:lineRule="auto"/>
      </w:pPr>
      <w:r>
        <w:rPr>
          <w:rFonts w:ascii="Georgia" w:cs="Georgia" w:eastAsia="Georgia" w:hAnsi="Georgia"/>
          <w:b w:val="false"/>
          <w:bCs w:val="false"/>
          <w:i w:val="false"/>
          <w:iCs w:val="false"/>
          <w:color w:val="2C3E50"/>
          <w:sz w:val="22"/>
          <w:szCs w:val="22"/>
        </w:rPr>
        <w:t xml:space="preserve">MAGI diverges from the decision-trace thesis on what kind of record is kept, and the divergence is the sharper of MAGI's two differentiations. A decision trace is forensic: it records an execution that has already happened and resolved. By the time it is a trace, a decision was reached, an outcome was chosen, and state was written — the trace captures the path to that single resolved outcome. MAGI's record is the opposite shape. It preserves the decision precisely where it was not resolved: the competing positions, the reasoning that lost, and the crux that was never settled, captured before resolution flattens them into one outcome.</w:t>
      </w:r>
    </w:p>
    <w:p>
      <w:pPr>
        <w:spacing w:after="100" w:before="60" w:line="320" w:lineRule="auto"/>
      </w:pPr>
      <w:r>
        <w:rPr>
          <w:rFonts w:ascii="Georgia" w:cs="Georgia" w:eastAsia="Georgia" w:hAnsi="Georgia"/>
          <w:b w:val="false"/>
          <w:bCs w:val="false"/>
          <w:i w:val="false"/>
          <w:iCs w:val="false"/>
          <w:color w:val="2C3E50"/>
          <w:sz w:val="22"/>
          <w:szCs w:val="22"/>
        </w:rPr>
        <w:t xml:space="preserve">This is not a small distinction, and it exposes a real limit in the forensic approach — though the limit must be stated carefully. A sophisticated decision trace can record that an objection was raised; the better context-graph designs explicitly capture how conflicts were resolved and who approved what. The difference is therefore not that a trace cannot mention dissent, but that it has no structural commitment to preserving it and no commitment to capturing it before resolution. In a forensic trace, a dissent that survives at all survives as a footnote to a settled outcome — 'objection raised, overruled' — annotated after the decision was reached. In MAGI the unresolved disagreement is the primary artifact, captured before resolution and protected structurally by the no-synthesis commitment, so it cannot be flattened into the winning narrative. A context graph that records dissent only as an annotation on a resolved decision, or that synthesizes its traces into 'what we decided,' retains the blind spot MAGI is built to prevent; one that genuinely preserved unresolved disagreement as a first-class, structurally-protected artifact would, to that extent, be doing what MAGI does.</w:t>
      </w:r>
    </w:p>
    <w:p>
      <w:pPr>
        <w:spacing w:after="100" w:before="60" w:line="320" w:lineRule="auto"/>
      </w:pPr>
      <w:r>
        <w:rPr>
          <w:rFonts w:ascii="Georgia" w:cs="Georgia" w:eastAsia="Georgia" w:hAnsi="Georgia"/>
          <w:b w:val="false"/>
          <w:bCs w:val="false"/>
          <w:i w:val="false"/>
          <w:iCs w:val="false"/>
          <w:color w:val="2C3E50"/>
          <w:sz w:val="22"/>
          <w:szCs w:val="22"/>
        </w:rPr>
        <w:t xml:space="preserve">The competitive implication is faced directly. A well-resourced system-of-agents platform sitting in the execution path could emit a dissent record as one field among many in its graph, which would reduce MAGI to a feature. The standing answer is the same retreat to bedrock, sharpened by this contrast: MAGI is not a slice of such a graph but the one part of it that refuses to let the dissent be flattened. Most decision traces have no commitment to preserving unresolved disagreement; MAGI's entire architecture is that commitment. Whoever holds the execution path, the preserved-dissent artifact is a distinct thing with a distinct guarantee, and being early with the cleanest version of that guarantee is the realistic advantage.</w:t>
      </w:r>
    </w:p>
    <w:p>
      <w:pPr>
        <w:spacing w:after="100" w:before="60" w:line="320" w:lineRule="auto"/>
      </w:pPr>
      <w:r>
        <w:rPr>
          <w:rFonts w:ascii="Georgia" w:cs="Georgia" w:eastAsia="Georgia" w:hAnsi="Georgia"/>
          <w:b w:val="false"/>
          <w:bCs w:val="false"/>
          <w:i w:val="false"/>
          <w:iCs w:val="false"/>
          <w:color w:val="2C3E50"/>
          <w:sz w:val="22"/>
          <w:szCs w:val="22"/>
        </w:rPr>
        <w:t xml:space="preserve">Two features of MAGI are strengthened by engaging this thesis and are adopted accordingly. First, the record must be emitted at decision time, in the workflow path, not reconstructed afterward — the forensic insight that decision context must be captured at commit time, applied to MAGI's narrower claim, because a deliberation run after a decision is resolved has nothing left to preserve. Second, similarity-searchable retrieval is promoted from a convenience to the compounding mechanism: accumulating, searchable precedent is what converts a pile of preserved dissents into organizational memory that is expensive to reconstruct, which is the same reason the decision-trace thesis treats the accumulating graph, rather than any single trace, as the asset.</w:t>
      </w:r>
    </w:p>
    <w:p>
      <w:pPr>
        <w:spacing w:after="0" w:before="240"/>
      </w:pPr>
      <w:r>
        <w:t xml:space="preserve"/>
      </w:r>
    </w:p>
    <w:p>
      <w:pPr>
        <w:pStyle w:val="Heading1"/>
        <w:pBdr>
          <w:bottom w:val="single" w:color="C0392B" w:sz="4" w:space="6"/>
        </w:pBdr>
        <w:spacing w:after="160" w:before="480"/>
      </w:pPr>
      <w:r>
        <w:rPr>
          <w:rFonts w:ascii="Georgia" w:cs="Georgia" w:eastAsia="Georgia" w:hAnsi="Georgia"/>
          <w:b/>
          <w:bCs/>
          <w:color w:val="1A1A2E"/>
          <w:sz w:val="34"/>
          <w:szCs w:val="34"/>
        </w:rPr>
        <w:t xml:space="preserve">9. Adversarial Review: Named Threats and Standing Answers</w:t>
      </w:r>
    </w:p>
    <w:p>
      <w:pPr>
        <w:spacing w:after="100" w:before="80" w:line="320" w:lineRule="auto"/>
      </w:pPr>
      <w:r>
        <w:rPr>
          <w:rFonts w:ascii="Georgia" w:cs="Georgia" w:eastAsia="Georgia" w:hAnsi="Georgia"/>
          <w:b w:val="false"/>
          <w:bCs w:val="false"/>
          <w:i w:val="false"/>
          <w:iCs w:val="false"/>
          <w:color w:val="2C3E50"/>
          <w:sz w:val="22"/>
          <w:szCs w:val="22"/>
        </w:rPr>
        <w:t xml:space="preserve">The following hostile reviewers were constructed to attack this document at its weakest points. Each is stated in its strongest form, followed by the design team's standing answer. The pattern of every answer is the same retreat to bedrock: the more the document claims, the more it can be hit, so the defense is always to fall back to the minimal claim that does not depend on the contested material.</w:t>
      </w:r>
    </w:p>
    <w:p>
      <w:pPr>
        <w:pStyle w:val="Heading2"/>
        <w:spacing w:after="120" w:before="340"/>
      </w:pPr>
      <w:r>
        <w:rPr>
          <w:rFonts w:ascii="Georgia" w:cs="Georgia" w:eastAsia="Georgia" w:hAnsi="Georgia"/>
          <w:b/>
          <w:bCs/>
          <w:color w:val="1A1A2E"/>
          <w:sz w:val="27"/>
          <w:szCs w:val="27"/>
        </w:rPr>
        <w:t xml:space="preserve">9.1 The ML Systems Skeptic</w:t>
      </w:r>
    </w:p>
    <w:p>
      <w:pPr>
        <w:spacing w:after="100" w:before="80" w:line="320" w:lineRule="auto"/>
      </w:pPr>
      <w:r>
        <w:rPr>
          <w:rFonts w:ascii="Georgia" w:cs="Georgia" w:eastAsia="Georgia" w:hAnsi="Georgia"/>
          <w:b w:val="false"/>
          <w:bCs w:val="false"/>
          <w:i w:val="false"/>
          <w:iCs w:val="false"/>
          <w:color w:val="2C3E50"/>
          <w:sz w:val="22"/>
          <w:szCs w:val="22"/>
        </w:rPr>
        <w:t xml:space="preserve">Attack: This is a prompt wrapper with a database and a theme. There is no evaluation. You concede you cannot benchmark accuracy and then offer no alternative metric, so by your own admission there is no way to know it works. And your three agents are three samples from one correlated distribution, not independent reasoners — you admit this and ship anyway.</w:t>
      </w:r>
    </w:p>
    <w:p>
      <w:pPr>
        <w:spacing w:after="100" w:before="80" w:line="320" w:lineRule="auto"/>
      </w:pPr>
      <w:r>
        <w:rPr>
          <w:rFonts w:ascii="Georgia" w:cs="Georgia" w:eastAsia="Georgia" w:hAnsi="Georgia"/>
          <w:b w:val="false"/>
          <w:bCs w:val="false"/>
          <w:i w:val="false"/>
          <w:iCs w:val="false"/>
          <w:color w:val="2C3E50"/>
          <w:sz w:val="22"/>
          <w:szCs w:val="22"/>
        </w:rPr>
        <w:t xml:space="preserve">Standing answer: The core claim is not an accuracy claim and is not benchmark-shaped; it is verifiable by inspection. One can directly observe that synthesis tools discard the minority reasoning and that MAGI retains it. That is the entire Tier 1 claim and it requires no metric. The independence concern is real and is carried openly as Open Question 9.A below; crucially, the value of preserving the record does not depend on the agents being fully independent — even correlated rationales, retained, are more useful at review time than a synthesized answer that retained nothing. We decline the framing that a tool must improve a benchmark to be worth building.</w:t>
      </w:r>
    </w:p>
    <w:p>
      <w:pPr>
        <w:pStyle w:val="Heading2"/>
        <w:spacing w:after="120" w:before="340"/>
      </w:pPr>
      <w:r>
        <w:rPr>
          <w:rFonts w:ascii="Georgia" w:cs="Georgia" w:eastAsia="Georgia" w:hAnsi="Georgia"/>
          <w:b/>
          <w:bCs/>
          <w:color w:val="1A1A2E"/>
          <w:sz w:val="27"/>
          <w:szCs w:val="27"/>
        </w:rPr>
        <w:t xml:space="preserve">9.2 The Working Engineer</w:t>
      </w:r>
    </w:p>
    <w:p>
      <w:pPr>
        <w:spacing w:after="100" w:before="80" w:line="320" w:lineRule="auto"/>
      </w:pPr>
      <w:r>
        <w:rPr>
          <w:rFonts w:ascii="Georgia" w:cs="Georgia" w:eastAsia="Georgia" w:hAnsi="Georgia"/>
          <w:b w:val="false"/>
          <w:bCs w:val="false"/>
          <w:i w:val="false"/>
          <w:iCs w:val="false"/>
          <w:color w:val="2C3E50"/>
          <w:sz w:val="22"/>
          <w:szCs w:val="22"/>
        </w:rPr>
        <w:t xml:space="preserve">Attack: I have a deadline. You hand me a split and a crux and call my hard decision hard — which I knew — after charging me latency and API spend, then ping me months later about a decision I have moved past. Why is this not just a good prompt I run once?</w:t>
      </w:r>
    </w:p>
    <w:p>
      <w:pPr>
        <w:spacing w:after="100" w:before="80" w:line="320" w:lineRule="auto"/>
      </w:pPr>
      <w:r>
        <w:rPr>
          <w:rFonts w:ascii="Georgia" w:cs="Georgia" w:eastAsia="Georgia" w:hAnsi="Georgia"/>
          <w:b w:val="false"/>
          <w:bCs w:val="false"/>
          <w:i w:val="false"/>
          <w:iCs w:val="false"/>
          <w:color w:val="2C3E50"/>
          <w:sz w:val="22"/>
          <w:szCs w:val="22"/>
        </w:rPr>
        <w:t xml:space="preserve">Standing answer: Largely fair, and the hardened design concedes most of it. MAGI does not gate or replace the decision; on a split it returns a structured input and the human proceeds. The withdrawn review cadences (now Tier 3) were the source of the unwanted pings. What remains after the concessions is narrow and real: a single run produces the artifact you will specifically want at the postmortem and do not currently have. If that artifact is not worth one run to you, the tool is not for that decision, and that is an acceptable outcome.</w:t>
      </w:r>
    </w:p>
    <w:p>
      <w:pPr>
        <w:pStyle w:val="Heading2"/>
        <w:spacing w:after="120" w:before="340"/>
      </w:pPr>
      <w:r>
        <w:rPr>
          <w:rFonts w:ascii="Georgia" w:cs="Georgia" w:eastAsia="Georgia" w:hAnsi="Georgia"/>
          <w:b/>
          <w:bCs/>
          <w:color w:val="1A1A2E"/>
          <w:sz w:val="27"/>
          <w:szCs w:val="27"/>
        </w:rPr>
        <w:t xml:space="preserve">9.3 The Domain Philosopher</w:t>
      </w:r>
    </w:p>
    <w:p>
      <w:pPr>
        <w:spacing w:after="100" w:before="80" w:line="320" w:lineRule="auto"/>
      </w:pPr>
      <w:r>
        <w:rPr>
          <w:rFonts w:ascii="Georgia" w:cs="Georgia" w:eastAsia="Georgia" w:hAnsi="Georgia"/>
          <w:b w:val="false"/>
          <w:bCs w:val="false"/>
          <w:i w:val="false"/>
          <w:iCs w:val="false"/>
          <w:color w:val="2C3E50"/>
          <w:sz w:val="22"/>
          <w:szCs w:val="22"/>
        </w:rPr>
        <w:t xml:space="preserve">Attack: Your use of Ibn Rushd and adab al-ikhtilaf is costume. The classical arguments concern metaphysical and theological questions, not engineering trade-offs. You have imported the conclusion while discarding the argument, and dressed a software feature in borrowed authority.</w:t>
      </w:r>
    </w:p>
    <w:p>
      <w:pPr>
        <w:spacing w:after="100" w:before="80" w:line="320" w:lineRule="auto"/>
      </w:pPr>
      <w:r>
        <w:rPr>
          <w:rFonts w:ascii="Georgia" w:cs="Georgia" w:eastAsia="Georgia" w:hAnsi="Georgia"/>
          <w:b w:val="false"/>
          <w:bCs w:val="false"/>
          <w:i w:val="false"/>
          <w:iCs w:val="false"/>
          <w:color w:val="2C3E50"/>
          <w:sz w:val="22"/>
          <w:szCs w:val="22"/>
        </w:rPr>
        <w:t xml:space="preserve">Standing answer: Conceded, and pre-empted by construction. All such references are quarantined in Tier 3 and explicitly labelled as resonance, not premise. The argument of Tiers 1 and 2 contains no philosophical dependency; delete every name and it is unchanged. The one place a tradition is used as actual evidence — the Supreme Court and the other fields in Section 3.3 — is an empirical claim about institutions that preserve dissent under specified conditions, not an appeal to authority. Where the philosopher is right, the remedy is to delete the reference, which costs the design nothing.</w:t>
      </w:r>
    </w:p>
    <w:p>
      <w:pPr>
        <w:pStyle w:val="Heading2"/>
        <w:spacing w:after="120" w:before="340"/>
      </w:pPr>
      <w:r>
        <w:rPr>
          <w:rFonts w:ascii="Georgia" w:cs="Georgia" w:eastAsia="Georgia" w:hAnsi="Georgia"/>
          <w:b/>
          <w:bCs/>
          <w:color w:val="1A1A2E"/>
          <w:sz w:val="27"/>
          <w:szCs w:val="27"/>
        </w:rPr>
        <w:t xml:space="preserve">9.4 The Adversarial Security Reviewer</w:t>
      </w:r>
    </w:p>
    <w:p>
      <w:pPr>
        <w:spacing w:after="100" w:before="80" w:line="320" w:lineRule="auto"/>
      </w:pPr>
      <w:r>
        <w:rPr>
          <w:rFonts w:ascii="Georgia" w:cs="Georgia" w:eastAsia="Georgia" w:hAnsi="Georgia"/>
          <w:b w:val="false"/>
          <w:bCs w:val="false"/>
          <w:i w:val="false"/>
          <w:iCs w:val="false"/>
          <w:color w:val="2C3E50"/>
          <w:sz w:val="22"/>
          <w:szCs w:val="22"/>
        </w:rPr>
        <w:t xml:space="preserve">Attack: Your premise is that consensus is gameable because models collude — but your dissent is equally gameable. A user who wants a YES constructs a panel that predictably votes YES, then brandishes your authoritative report as independent deliberation. You have built a laundering machine for predetermined decisions, with a credibility-lending artifact attached.</w:t>
      </w:r>
    </w:p>
    <w:p>
      <w:pPr>
        <w:spacing w:after="100" w:before="80" w:line="320" w:lineRule="auto"/>
      </w:pPr>
      <w:r>
        <w:rPr>
          <w:rFonts w:ascii="Georgia" w:cs="Georgia" w:eastAsia="Georgia" w:hAnsi="Georgia"/>
          <w:b w:val="false"/>
          <w:bCs w:val="false"/>
          <w:i w:val="false"/>
          <w:iCs w:val="false"/>
          <w:color w:val="2C3E50"/>
          <w:sz w:val="22"/>
          <w:szCs w:val="22"/>
        </w:rPr>
        <w:t xml:space="preserve">Standing answer: A genuine misuse and a real limit, mitigated rather than solved. The defense is that the record makes the gaming visible: the report includes the exact persona mandates used, so a stacked panel is legible in the artifact rather than hidden behind a synthesized answer. This is strictly better than synthesis tools, where a biased merge leaves no trace at all. It is not a guarantee against bad actors, and we do not claim the artifact certifies a decision was made in good faith — only that it records the inputs under which it was made. The honest framing is that MAGI surfaces the conditions of a decision; it does not authenticate the motives behind it.</w:t>
      </w:r>
    </w:p>
    <w:p>
      <w:pPr>
        <w:pStyle w:val="Heading2"/>
        <w:spacing w:after="120" w:before="340"/>
      </w:pPr>
      <w:r>
        <w:rPr>
          <w:rFonts w:ascii="Georgia" w:cs="Georgia" w:eastAsia="Georgia" w:hAnsi="Georgia"/>
          <w:b/>
          <w:bCs/>
          <w:color w:val="1A1A2E"/>
          <w:sz w:val="27"/>
          <w:szCs w:val="27"/>
        </w:rPr>
        <w:t xml:space="preserve">9.5 The Product Strategist</w:t>
      </w:r>
    </w:p>
    <w:p>
      <w:pPr>
        <w:spacing w:after="100" w:before="80" w:line="320" w:lineRule="auto"/>
      </w:pPr>
      <w:r>
        <w:rPr>
          <w:rFonts w:ascii="Georgia" w:cs="Georgia" w:eastAsia="Georgia" w:hAnsi="Georgia"/>
          <w:b w:val="false"/>
          <w:bCs w:val="false"/>
          <w:i w:val="false"/>
          <w:iCs w:val="false"/>
          <w:color w:val="2C3E50"/>
          <w:sz w:val="22"/>
          <w:szCs w:val="22"/>
        </w:rPr>
        <w:t xml:space="preserve">Attack: A funded incumbent has the same idea minus your philosophy and far more distribution. The moment dissent-preservation shows traction they ship it as a toggle and you are a feature, not a company. Your moat is an aesthetic and an essay.</w:t>
      </w:r>
    </w:p>
    <w:p>
      <w:pPr>
        <w:spacing w:after="100" w:before="80" w:line="320" w:lineRule="auto"/>
      </w:pPr>
      <w:r>
        <w:rPr>
          <w:rFonts w:ascii="Georgia" w:cs="Georgia" w:eastAsia="Georgia" w:hAnsi="Georgia"/>
          <w:b w:val="false"/>
          <w:bCs w:val="false"/>
          <w:i w:val="false"/>
          <w:iCs w:val="false"/>
          <w:color w:val="2C3E50"/>
          <w:sz w:val="22"/>
          <w:szCs w:val="22"/>
        </w:rPr>
        <w:t xml:space="preserve">Standing answer: Accepted as the central business risk and not waved away. The design response is to make the bounded argument and the clean reference implementation the asset, and to treat the aesthetic as distribution rather than moat. If the incumbent adds the toggle, the thesis of this document is vindicated, which is the outcome the team is optimizing for regardless of who ships it. A small project's only realistic durable advantage is being early, being correct about the boundary, and being the cleanest reference for the idea — which is what this document is built to be.</w:t>
      </w:r>
    </w:p>
    <w:p>
      <w:pPr>
        <w:spacing w:after="0" w:before="160"/>
      </w:pPr>
      <w:r>
        <w:t xml:space="preserve"/>
      </w:r>
    </w:p>
    <w:p>
      <w:pPr>
        <w:pStyle w:val="Heading2"/>
        <w:spacing w:after="120" w:before="340"/>
      </w:pPr>
      <w:r>
        <w:rPr>
          <w:rFonts w:ascii="Georgia" w:cs="Georgia" w:eastAsia="Georgia" w:hAnsi="Georgia"/>
          <w:b/>
          <w:bCs/>
          <w:color w:val="1A1A2E"/>
          <w:sz w:val="27"/>
          <w:szCs w:val="27"/>
        </w:rPr>
        <w:t xml:space="preserve">9.A Carried Open Questions</w:t>
      </w:r>
    </w:p>
    <w:p>
      <w:pPr>
        <w:spacing w:after="100" w:before="80" w:line="320" w:lineRule="auto"/>
      </w:pPr>
      <w:r>
        <w:rPr>
          <w:rFonts w:ascii="Georgia" w:cs="Georgia" w:eastAsia="Georgia" w:hAnsi="Georgia"/>
          <w:b w:val="false"/>
          <w:bCs w:val="false"/>
          <w:i w:val="false"/>
          <w:iCs w:val="false"/>
          <w:color w:val="2C3E50"/>
          <w:sz w:val="22"/>
          <w:szCs w:val="22"/>
        </w:rPr>
        <w:t xml:space="preserve">Two questions are unresolved and material, retained here so no reviewer has to discover them:</w:t>
      </w:r>
    </w:p>
    <w:p>
      <w:pPr>
        <w:pStyle w:val="ListParagraph"/>
        <w:numPr>
          <w:ilvl w:val="0"/>
          <w:numId w:val="2"/>
        </w:numPr>
        <w:spacing w:after="60" w:before="60" w:line="300" w:lineRule="auto"/>
      </w:pPr>
      <w:r>
        <w:rPr>
          <w:rFonts w:ascii="Georgia" w:cs="Georgia" w:eastAsia="Georgia" w:hAnsi="Georgia"/>
          <w:b w:val="false"/>
          <w:bCs w:val="false"/>
          <w:i w:val="false"/>
          <w:iCs w:val="false"/>
          <w:color w:val="2C3E50"/>
          <w:sz w:val="22"/>
          <w:szCs w:val="22"/>
        </w:rPr>
        <w:t xml:space="preserve">Authentic versus role-played dissent. Nemeth's finding that assigned-role dissent can underperform genuine dissent applies directly to MAGI's personas. Blind commitment is a partial mitigation, not a cure. Whether an assigned-role model can produce dissent of real cognitive value is the single most important question for empirical testing before any strong claim is made.</w:t>
      </w:r>
    </w:p>
    <w:p>
      <w:pPr>
        <w:pStyle w:val="ListParagraph"/>
        <w:numPr>
          <w:ilvl w:val="0"/>
          <w:numId w:val="2"/>
        </w:numPr>
        <w:spacing w:after="60" w:before="60" w:line="300" w:lineRule="auto"/>
      </w:pPr>
      <w:r>
        <w:rPr>
          <w:rFonts w:ascii="Georgia" w:cs="Georgia" w:eastAsia="Georgia" w:hAnsi="Georgia"/>
          <w:b w:val="false"/>
          <w:bCs w:val="false"/>
          <w:i w:val="false"/>
          <w:iCs w:val="false"/>
          <w:color w:val="2C3E50"/>
          <w:sz w:val="22"/>
          <w:szCs w:val="22"/>
        </w:rPr>
        <w:t xml:space="preserve">Dissent versus variance. Whether three prompts of one base model yield genuine dissent or merely costumed sampling variance is unresolved. The mitigating point for the core claim is that preserving even correlated rationales beats preserving nothing; the strengthening option of distinct base models introduces its own confounds. This is flagged, not settled.</w:t>
      </w:r>
    </w:p>
    <w:p>
      <w:pPr>
        <w:spacing w:after="0" w:before="240"/>
      </w:pPr>
      <w:r>
        <w:t xml:space="preserve"/>
      </w:r>
    </w:p>
    <w:p>
      <w:pPr>
        <w:pStyle w:val="Heading1"/>
        <w:pBdr>
          <w:bottom w:val="single" w:color="C0392B" w:sz="4" w:space="6"/>
        </w:pBdr>
        <w:spacing w:after="160" w:before="480"/>
      </w:pPr>
      <w:r>
        <w:rPr>
          <w:rFonts w:ascii="Georgia" w:cs="Georgia" w:eastAsia="Georgia" w:hAnsi="Georgia"/>
          <w:b/>
          <w:bCs/>
          <w:color w:val="1A1A2E"/>
          <w:sz w:val="34"/>
          <w:szCs w:val="34"/>
        </w:rPr>
        <w:t xml:space="preserve">10. Allied Review: Who This Is For, and What They See</w:t>
      </w:r>
    </w:p>
    <w:p>
      <w:pPr>
        <w:spacing w:after="100" w:before="80" w:line="320" w:lineRule="auto"/>
      </w:pPr>
      <w:r>
        <w:rPr>
          <w:rFonts w:ascii="Georgia" w:cs="Georgia" w:eastAsia="Georgia" w:hAnsi="Georgia"/>
          <w:b w:val="false"/>
          <w:bCs w:val="false"/>
          <w:i w:val="false"/>
          <w:iCs w:val="false"/>
          <w:color w:val="2C3E50"/>
          <w:sz w:val="22"/>
          <w:szCs w:val="22"/>
        </w:rPr>
        <w:t xml:space="preserve">The adversarial panel was constructed to find weakness. A second panel was constructed from reviewers — inside and outside the AI industry — predisposed to value the design's goals. They are included for two reasons. First, allied reviewers consistently identified value the builders had underweighted, and that value turned out to be more defensible than several features the hardening removed. Second, the same honesty that reads as weakness to a hostile reviewer reads as a research agenda to an allied one: the carried open questions in Section 9.A are, to the right audience, the contribution rather than the liability. The document benefits from knowing which audience it is addressing.</w:t>
      </w:r>
    </w:p>
    <w:p>
      <w:pPr>
        <w:pStyle w:val="Heading2"/>
        <w:spacing w:after="120" w:before="340"/>
      </w:pPr>
      <w:r>
        <w:rPr>
          <w:rFonts w:ascii="Georgia" w:cs="Georgia" w:eastAsia="Georgia" w:hAnsi="Georgia"/>
          <w:b/>
          <w:bCs/>
          <w:color w:val="1A1A2E"/>
          <w:sz w:val="27"/>
          <w:szCs w:val="27"/>
        </w:rPr>
        <w:t xml:space="preserve">10.1 The AI Safety / Interpretability Researcher (within AI)</w:t>
      </w:r>
    </w:p>
    <w:p>
      <w:pPr>
        <w:spacing w:after="100" w:before="80" w:line="320" w:lineRule="auto"/>
      </w:pPr>
      <w:r>
        <w:rPr>
          <w:rFonts w:ascii="Georgia" w:cs="Georgia" w:eastAsia="Georgia" w:hAnsi="Georgia"/>
          <w:b w:val="false"/>
          <w:bCs w:val="false"/>
          <w:i w:val="false"/>
          <w:iCs w:val="false"/>
          <w:color w:val="2C3E50"/>
          <w:sz w:val="22"/>
          <w:szCs w:val="22"/>
        </w:rPr>
        <w:t xml:space="preserve">What they see: MAGI is an anti-sycophancy instrument. Sycophancy — a model telling the user what the user wants to hear, and agents capitulating to an emerging majority — is among the most-discussed alignment failures. Blind commitment, in which a model fixes a position before seeing the majority, is a cheap and inspectable rig for measuring how much a model capitulates under social pressure, and crux extraction is a primitive form of eliciting latent disagreement: surfacing what the system actually computes rather than what it is trained to say. To this reviewer the role-played-versus-authentic-dissent open question is not a flaw to apologize for but the reason to build the thing, because MAGI is the apparatus that lets the question be studied. Their reframing upgrades Section 9.A from carried liability to stated contribution.</w:t>
      </w:r>
    </w:p>
    <w:p>
      <w:pPr>
        <w:pStyle w:val="Heading2"/>
        <w:spacing w:after="120" w:before="340"/>
      </w:pPr>
      <w:r>
        <w:rPr>
          <w:rFonts w:ascii="Georgia" w:cs="Georgia" w:eastAsia="Georgia" w:hAnsi="Georgia"/>
          <w:b/>
          <w:bCs/>
          <w:color w:val="1A1A2E"/>
          <w:sz w:val="27"/>
          <w:szCs w:val="27"/>
        </w:rPr>
        <w:t xml:space="preserve">10.2 The Applied Evaluation / LLM-Ops Lead (within AI)</w:t>
      </w:r>
    </w:p>
    <w:p>
      <w:pPr>
        <w:spacing w:after="100" w:before="80" w:line="320" w:lineRule="auto"/>
      </w:pPr>
      <w:r>
        <w:rPr>
          <w:rFonts w:ascii="Georgia" w:cs="Georgia" w:eastAsia="Georgia" w:hAnsi="Georgia"/>
          <w:b w:val="false"/>
          <w:bCs w:val="false"/>
          <w:i w:val="false"/>
          <w:iCs w:val="false"/>
          <w:color w:val="2C3E50"/>
          <w:sz w:val="22"/>
          <w:szCs w:val="22"/>
        </w:rPr>
        <w:t xml:space="preserve">What they see: the record is a map of organizational uncertainty. Every stored deliberation is a labeled instance of where models disagreed, on what kind of question. Accumulated, that is not a calibration dataset — the document was right to cut calibration — but something more immediately useful: a map of exactly where an organization's decisions are genuinely contested, and therefore where human review should be concentrated. This reviewer takes a feature the builders treated as incidental, the durable record, and identifies its strongest defensible use, one that requires none of the withdrawn machinery.</w:t>
      </w:r>
    </w:p>
    <w:p>
      <w:pPr>
        <w:pStyle w:val="Heading2"/>
        <w:spacing w:after="120" w:before="340"/>
      </w:pPr>
      <w:r>
        <w:rPr>
          <w:rFonts w:ascii="Georgia" w:cs="Georgia" w:eastAsia="Georgia" w:hAnsi="Georgia"/>
          <w:b/>
          <w:bCs/>
          <w:color w:val="1A1A2E"/>
          <w:sz w:val="27"/>
          <w:szCs w:val="27"/>
        </w:rPr>
        <w:t xml:space="preserve">10.3 The Multi-Agent Systems Researcher (within AI)</w:t>
      </w:r>
    </w:p>
    <w:p>
      <w:pPr>
        <w:spacing w:after="100" w:before="80" w:line="320" w:lineRule="auto"/>
      </w:pPr>
      <w:r>
        <w:rPr>
          <w:rFonts w:ascii="Georgia" w:cs="Georgia" w:eastAsia="Georgia" w:hAnsi="Georgia"/>
          <w:b w:val="false"/>
          <w:bCs w:val="false"/>
          <w:i w:val="false"/>
          <w:iCs w:val="false"/>
          <w:color w:val="2C3E50"/>
          <w:sz w:val="22"/>
          <w:szCs w:val="22"/>
        </w:rPr>
        <w:t xml:space="preserve">What they see: the refusal to synthesize is the actual research stance. Nearly every multi-agent paper reflexively adds an aggregation step. Deliberately omitting it states a testable hypothesis — that for underdetermined tasks, terminal disagreement preserves more decision-relevant information than any aggregation function. To this reviewer the no-synthesis commitment in Section 4.3 is not a missing feature but the paper's thesis, and worth stating as one.</w:t>
      </w:r>
    </w:p>
    <w:p>
      <w:pPr>
        <w:pStyle w:val="Heading2"/>
        <w:spacing w:after="120" w:before="340"/>
      </w:pPr>
      <w:r>
        <w:rPr>
          <w:rFonts w:ascii="Georgia" w:cs="Georgia" w:eastAsia="Georgia" w:hAnsi="Georgia"/>
          <w:b/>
          <w:bCs/>
          <w:color w:val="1A1A2E"/>
          <w:sz w:val="27"/>
          <w:szCs w:val="27"/>
        </w:rPr>
        <w:t xml:space="preserve">10.4 The Judge / Appellate Clerk (outside AI)</w:t>
      </w:r>
    </w:p>
    <w:p>
      <w:pPr>
        <w:spacing w:after="100" w:before="80" w:line="320" w:lineRule="auto"/>
      </w:pPr>
      <w:r>
        <w:rPr>
          <w:rFonts w:ascii="Georgia" w:cs="Georgia" w:eastAsia="Georgia" w:hAnsi="Georgia"/>
          <w:b w:val="false"/>
          <w:bCs w:val="false"/>
          <w:i w:val="false"/>
          <w:iCs w:val="false"/>
          <w:color w:val="2C3E50"/>
          <w:sz w:val="22"/>
          <w:szCs w:val="22"/>
        </w:rPr>
        <w:t xml:space="preserve">What they see: machinery they have used for centuries, and two refinements the builders had missed. The first is concurrence — agreement reached for incompatible reasons — which the appellate tradition has always distinguished from genuine consensus, and which is now incorporated as concurrence detection in Section 4.2. The second is retrievability against future cases: the reason preserved dissent has value in law is the doctrine of precedent, which implies the record must be searchable by similarity to a new decision, not merely by date. That is a concrete, defensible feature the legal analog hands directly to the design (Section 10.A).</w:t>
      </w:r>
    </w:p>
    <w:p>
      <w:pPr>
        <w:pStyle w:val="Heading2"/>
        <w:spacing w:after="120" w:before="340"/>
      </w:pPr>
      <w:r>
        <w:rPr>
          <w:rFonts w:ascii="Georgia" w:cs="Georgia" w:eastAsia="Georgia" w:hAnsi="Georgia"/>
          <w:b/>
          <w:bCs/>
          <w:color w:val="1A1A2E"/>
          <w:sz w:val="27"/>
          <w:szCs w:val="27"/>
        </w:rPr>
        <w:t xml:space="preserve">10.5 The Clinician / Tumor-Board Physician (outside AI)</w:t>
      </w:r>
    </w:p>
    <w:p>
      <w:pPr>
        <w:spacing w:after="100" w:before="80" w:line="320" w:lineRule="auto"/>
      </w:pPr>
      <w:r>
        <w:rPr>
          <w:rFonts w:ascii="Georgia" w:cs="Georgia" w:eastAsia="Georgia" w:hAnsi="Georgia"/>
          <w:b w:val="false"/>
          <w:bCs w:val="false"/>
          <w:i w:val="false"/>
          <w:iCs w:val="false"/>
          <w:color w:val="2C3E50"/>
          <w:sz w:val="22"/>
          <w:szCs w:val="22"/>
        </w:rPr>
        <w:t xml:space="preserve">What they see: their own protocol. Multidisciplinary boards run exactly this process for hard cases — each specialist reasons from their own evidence and the disagreement is the point. Their refinement, now adopted, is that the dissent which matters is the one tied to a specific harm: the crux should be consequence-anchored, naming the bad outcome the minority fears rather than abstractly locating the disagreement (Section 4.2). This makes the minority report actionable in the way a real tumor-board dissent is.</w:t>
      </w:r>
    </w:p>
    <w:p>
      <w:pPr>
        <w:pStyle w:val="Heading2"/>
        <w:spacing w:after="120" w:before="340"/>
      </w:pPr>
      <w:r>
        <w:rPr>
          <w:rFonts w:ascii="Georgia" w:cs="Georgia" w:eastAsia="Georgia" w:hAnsi="Georgia"/>
          <w:b/>
          <w:bCs/>
          <w:color w:val="1A1A2E"/>
          <w:sz w:val="27"/>
          <w:szCs w:val="27"/>
        </w:rPr>
        <w:t xml:space="preserve">10.6 The Intelligence Historian and the Deliberative-Democracy Practitioner (outside AI)</w:t>
      </w:r>
    </w:p>
    <w:p>
      <w:pPr>
        <w:spacing w:after="100" w:before="80" w:line="320" w:lineRule="auto"/>
      </w:pPr>
      <w:r>
        <w:rPr>
          <w:rFonts w:ascii="Georgia" w:cs="Georgia" w:eastAsia="Georgia" w:hAnsi="Georgia"/>
          <w:b w:val="false"/>
          <w:bCs w:val="false"/>
          <w:i w:val="false"/>
          <w:iCs w:val="false"/>
          <w:color w:val="2C3E50"/>
          <w:sz w:val="22"/>
          <w:szCs w:val="22"/>
        </w:rPr>
        <w:t xml:space="preserve">What they see: infrastructure against institutional forgetting, and a legitimacy artifact. The historian observes that major intelligence failures are partly stories of dissent that was available but not preserved or heard, and locates MAGI's deepest value in accountability over time — when a decision goes wrong, the preserved dissent answers whether anyone saw it coming and whether they were heard. The deliberation practitioner, who runs citizen assemblies, recognizes the same animal and pushes the document to state more loudly what Tier 1 states too quietly: on value-laden questions, a decision's worth derives from the integrity of the process that produced it, and MAGI is one of the few tools that emits a process artifact rather than only an answer. Both reframe the work from developer tooling toward decision governance — a larger frame, and a more defensible one.</w:t>
      </w:r>
    </w:p>
    <w:p>
      <w:pPr>
        <w:pStyle w:val="Heading2"/>
        <w:spacing w:after="120" w:before="340"/>
      </w:pPr>
      <w:r>
        <w:rPr>
          <w:rFonts w:ascii="Georgia" w:cs="Georgia" w:eastAsia="Georgia" w:hAnsi="Georgia"/>
          <w:b/>
          <w:bCs/>
          <w:color w:val="1A1A2E"/>
          <w:sz w:val="27"/>
          <w:szCs w:val="27"/>
        </w:rPr>
        <w:t xml:space="preserve">10.A Features Adopted From Allied Review</w:t>
      </w:r>
    </w:p>
    <w:p>
      <w:pPr>
        <w:spacing w:after="100" w:before="80" w:line="320" w:lineRule="auto"/>
      </w:pPr>
      <w:r>
        <w:rPr>
          <w:rFonts w:ascii="Georgia" w:cs="Georgia" w:eastAsia="Georgia" w:hAnsi="Georgia"/>
          <w:b w:val="false"/>
          <w:bCs w:val="false"/>
          <w:i w:val="false"/>
          <w:iCs w:val="false"/>
          <w:color w:val="2C3E50"/>
          <w:sz w:val="22"/>
          <w:szCs w:val="22"/>
        </w:rPr>
        <w:t xml:space="preserve">Three refinements entered the design from this panel, all compatible with the hardened core and none requiring the withdrawn machinery:</w:t>
      </w:r>
    </w:p>
    <w:p>
      <w:pPr>
        <w:pStyle w:val="ListParagraph"/>
        <w:numPr>
          <w:ilvl w:val="0"/>
          <w:numId w:val="2"/>
        </w:numPr>
        <w:spacing w:after="60" w:before="60" w:line="300" w:lineRule="auto"/>
      </w:pPr>
      <w:r>
        <w:rPr>
          <w:rFonts w:ascii="Georgia" w:cs="Georgia" w:eastAsia="Georgia" w:hAnsi="Georgia"/>
          <w:b w:val="false"/>
          <w:bCs w:val="false"/>
          <w:i w:val="false"/>
          <w:iCs w:val="false"/>
          <w:color w:val="2C3E50"/>
          <w:sz w:val="22"/>
          <w:szCs w:val="22"/>
        </w:rPr>
        <w:t xml:space="preserve">Consequence-anchored cruxes (from the clinical model): the crux names the specific harm the minority is reasoning about, not merely the locus of disagreement. Incorporated in Section 4.2.</w:t>
      </w:r>
    </w:p>
    <w:p>
      <w:pPr>
        <w:pStyle w:val="ListParagraph"/>
        <w:numPr>
          <w:ilvl w:val="0"/>
          <w:numId w:val="2"/>
        </w:numPr>
        <w:spacing w:after="60" w:before="60" w:line="300" w:lineRule="auto"/>
      </w:pPr>
      <w:r>
        <w:rPr>
          <w:rFonts w:ascii="Georgia" w:cs="Georgia" w:eastAsia="Georgia" w:hAnsi="Georgia"/>
          <w:b w:val="false"/>
          <w:bCs w:val="false"/>
          <w:i w:val="false"/>
          <w:iCs w:val="false"/>
          <w:color w:val="2C3E50"/>
          <w:sz w:val="22"/>
          <w:szCs w:val="22"/>
        </w:rPr>
        <w:t xml:space="preserve">Concurrence detection (from the appellate model): agreement for incompatible reasons is flagged as fragile rather than counted as consensus. Incorporated in Section 4.2.</w:t>
      </w:r>
    </w:p>
    <w:p>
      <w:pPr>
        <w:pStyle w:val="ListParagraph"/>
        <w:numPr>
          <w:ilvl w:val="0"/>
          <w:numId w:val="2"/>
        </w:numPr>
        <w:spacing w:after="60" w:before="60" w:line="300" w:lineRule="auto"/>
      </w:pPr>
      <w:r>
        <w:rPr>
          <w:rFonts w:ascii="Georgia" w:cs="Georgia" w:eastAsia="Georgia" w:hAnsi="Georgia"/>
          <w:b w:val="false"/>
          <w:bCs w:val="false"/>
          <w:i w:val="false"/>
          <w:iCs w:val="false"/>
          <w:color w:val="2C3E50"/>
          <w:sz w:val="22"/>
          <w:szCs w:val="22"/>
        </w:rPr>
        <w:t xml:space="preserve">Similarity-searchable record (from the doctrine of precedent): the record should be retrievable by resemblance to a new decision, not only chronologically, so that a past dissent can surface when a kindred question recurs. Noted as a defensible near-term feature; it extends the record without invoking calibration.</w:t>
      </w:r>
    </w:p>
    <w:p>
      <w:pPr>
        <w:spacing w:after="0" w:before="240"/>
      </w:pPr>
      <w:r>
        <w:t xml:space="preserve"/>
      </w:r>
    </w:p>
    <w:p>
      <w:pPr>
        <w:pStyle w:val="Heading1"/>
        <w:pBdr>
          <w:bottom w:val="single" w:color="C0392B" w:sz="4" w:space="6"/>
        </w:pBdr>
        <w:spacing w:after="160" w:before="480"/>
      </w:pPr>
      <w:r>
        <w:rPr>
          <w:rFonts w:ascii="Georgia" w:cs="Georgia" w:eastAsia="Georgia" w:hAnsi="Georgia"/>
          <w:b/>
          <w:bCs/>
          <w:color w:val="1A1A2E"/>
          <w:sz w:val="34"/>
          <w:szCs w:val="34"/>
        </w:rPr>
        <w:t xml:space="preserve">11. What Survives If Everything Contestable Is Removed</w:t>
      </w:r>
    </w:p>
    <w:p>
      <w:pPr>
        <w:spacing w:after="100" w:before="80" w:line="320" w:lineRule="auto"/>
      </w:pPr>
      <w:r>
        <w:rPr>
          <w:rFonts w:ascii="Georgia" w:cs="Georgia" w:eastAsia="Georgia" w:hAnsi="Georgia"/>
          <w:b w:val="false"/>
          <w:bCs w:val="false"/>
          <w:i w:val="false"/>
          <w:iCs w:val="false"/>
          <w:color w:val="2C3E50"/>
          <w:sz w:val="22"/>
          <w:szCs w:val="22"/>
        </w:rPr>
        <w:t xml:space="preserve">As a final hardening, the residue. If every contestable element were stripped — the philosophy, the aesthetic, the calibration, the classification tiers, the persona libraries, the specific agent count — the following would remain, and it is sufficient to constitute the product:</w:t>
      </w:r>
    </w:p>
    <w:p>
      <w:pPr>
        <w:pStyle w:val="ListParagraph"/>
        <w:numPr>
          <w:ilvl w:val="0"/>
          <w:numId w:val="3"/>
        </w:numPr>
        <w:spacing w:after="60" w:before="60" w:line="300" w:lineRule="auto"/>
      </w:pPr>
      <w:r>
        <w:rPr>
          <w:rFonts w:ascii="Georgia" w:cs="Georgia" w:eastAsia="Georgia" w:hAnsi="Georgia"/>
          <w:b w:val="false"/>
          <w:bCs w:val="false"/>
          <w:color w:val="2C3E50"/>
          <w:sz w:val="22"/>
          <w:szCs w:val="22"/>
        </w:rPr>
        <w:t xml:space="preserve">A way to ask several independently-prompted reasoners a question without a verifiable answer, each committing its position before seeing the others.</w:t>
      </w:r>
    </w:p>
    <w:p>
      <w:pPr>
        <w:pStyle w:val="ListParagraph"/>
        <w:numPr>
          <w:ilvl w:val="0"/>
          <w:numId w:val="3"/>
        </w:numPr>
        <w:spacing w:after="60" w:before="60" w:line="300" w:lineRule="auto"/>
      </w:pPr>
      <w:r>
        <w:rPr>
          <w:rFonts w:ascii="Georgia" w:cs="Georgia" w:eastAsia="Georgia" w:hAnsi="Georgia"/>
          <w:b w:val="false"/>
          <w:bCs w:val="false"/>
          <w:color w:val="2C3E50"/>
          <w:sz w:val="22"/>
          <w:szCs w:val="22"/>
        </w:rPr>
        <w:t xml:space="preserve">Retention of every rationale, including the losing one, as a durable structured record rather than a synthesized answer.</w:t>
      </w:r>
    </w:p>
    <w:p>
      <w:pPr>
        <w:pStyle w:val="ListParagraph"/>
        <w:numPr>
          <w:ilvl w:val="0"/>
          <w:numId w:val="3"/>
        </w:numPr>
        <w:spacing w:after="60" w:before="60" w:line="300" w:lineRule="auto"/>
      </w:pPr>
      <w:r>
        <w:rPr>
          <w:rFonts w:ascii="Georgia" w:cs="Georgia" w:eastAsia="Georgia" w:hAnsi="Georgia"/>
          <w:b w:val="false"/>
          <w:bCs w:val="false"/>
          <w:color w:val="2C3E50"/>
          <w:sz w:val="22"/>
          <w:szCs w:val="22"/>
        </w:rPr>
        <w:t xml:space="preserve">On disagreement, a consequence-anchored, falsifiable crux instead of a forced verdict; and on agreement, a flag when that agreement rests on incompatible reasons.</w:t>
      </w:r>
    </w:p>
    <w:p>
      <w:pPr>
        <w:pStyle w:val="ListParagraph"/>
        <w:numPr>
          <w:ilvl w:val="0"/>
          <w:numId w:val="3"/>
        </w:numPr>
        <w:spacing w:after="60" w:before="60" w:line="300" w:lineRule="auto"/>
      </w:pPr>
      <w:r>
        <w:rPr>
          <w:rFonts w:ascii="Georgia" w:cs="Georgia" w:eastAsia="Georgia" w:hAnsi="Georgia"/>
          <w:b w:val="false"/>
          <w:bCs w:val="false"/>
          <w:color w:val="2C3E50"/>
          <w:sz w:val="22"/>
          <w:szCs w:val="22"/>
        </w:rPr>
        <w:t xml:space="preserve">A retrievable, attachable artifact of the above for use at decision time and at later review.</w:t>
      </w:r>
    </w:p>
    <w:p>
      <w:pPr>
        <w:spacing w:after="0" w:before="120"/>
      </w:pPr>
      <w:r>
        <w:t xml:space="preserve"/>
      </w:r>
    </w:p>
    <w:p>
      <w:pPr>
        <w:spacing w:after="100" w:before="80" w:line="320" w:lineRule="auto"/>
      </w:pPr>
      <w:r>
        <w:rPr>
          <w:rFonts w:ascii="Georgia" w:cs="Georgia" w:eastAsia="Georgia" w:hAnsi="Georgia"/>
          <w:b w:val="false"/>
          <w:bCs w:val="false"/>
          <w:i w:val="false"/>
          <w:iCs w:val="false"/>
          <w:color w:val="2C3E50"/>
          <w:sz w:val="22"/>
          <w:szCs w:val="22"/>
        </w:rPr>
        <w:t xml:space="preserve">That residue is the whole defensible product. Everything else in this document is in service of it, illustrative of it, or aspirational beyond it — and has been marked accordingly so that no part of the decoration can be used to bring down the structure. The adversarial panel confirms the residue is hard to attack; the allied panel confirms it is larger in reach than a developer tool, keeping company with the institutions that have preserved dissent for as long as consequential decisions have been made without knowing the answer in advance.</w:t>
      </w:r>
    </w:p>
    <w:p>
      <w:pPr>
        <w:spacing w:after="0" w:before="200"/>
      </w:pPr>
      <w:r>
        <w:t xml:space="preserve"/>
      </w:r>
    </w:p>
    <w:p>
      <w:pPr>
        <w:pBdr>
          <w:bottom w:val="single" w:color="CCCCCC" w:sz="2" w:space="1"/>
        </w:pBdr>
        <w:spacing w:after="240" w:before="240"/>
      </w:pPr>
      <w:r>
        <w:t xml:space="preserve"/>
      </w:r>
    </w:p>
    <w:p>
      <w:pPr>
        <w:spacing w:after="0" w:before="120"/>
      </w:pPr>
      <w:r>
        <w:t xml:space="preserve"/>
      </w:r>
    </w:p>
    <w:p>
      <w:pPr>
        <w:spacing w:after="80" w:before="0"/>
        <w:jc w:val="center"/>
      </w:pPr>
      <w:r>
        <w:rPr>
          <w:rFonts w:ascii="Georgia" w:cs="Georgia" w:eastAsia="Georgia" w:hAnsi="Georgia"/>
          <w:b/>
          <w:bCs/>
          <w:color w:val="C0392B"/>
          <w:spacing w:val="40"/>
          <w:sz w:val="18"/>
          <w:szCs w:val="18"/>
        </w:rPr>
        <w:t xml:space="preserve">SUBMITTED FOR INDEPENDENT CRITIQUE AND ANALYSIS</w:t>
      </w:r>
    </w:p>
    <w:p>
      <w:pPr>
        <w:spacing w:after="160" w:before="0"/>
        <w:jc w:val="center"/>
      </w:pPr>
      <w:r>
        <w:rPr>
          <w:rFonts w:ascii="Georgia" w:cs="Georgia" w:eastAsia="Georgia" w:hAnsi="Georgia"/>
          <w:i/>
          <w:iCs/>
          <w:color w:val="555555"/>
          <w:sz w:val="20"/>
          <w:szCs w:val="20"/>
        </w:rPr>
        <w:t xml:space="preserve">This hardened draft claims as little as possible on purpose. Attack the bedrock; the rest is already conceded.</w:t>
      </w:r>
    </w:p>
    <w:p>
      <w:pPr>
        <w:pBdr>
          <w:bottom w:val="single" w:color="CCCCCC" w:sz="2" w:space="1"/>
        </w:pBdr>
        <w:spacing w:after="240" w:before="240"/>
      </w:pPr>
      <w:r>
        <w:t xml:space="preserve"/>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2" w:space="4"/>
      </w:pBdr>
      <w:tabs>
        <w:tab w:val="right" w:pos="9360"/>
      </w:tabs>
      <w:spacing w:before="0"/>
    </w:pPr>
    <w:r>
      <w:rPr>
        <w:rFonts w:ascii="Georgia" w:cs="Georgia" w:eastAsia="Georgia" w:hAnsi="Georgia"/>
        <w:color w:val="888888"/>
        <w:sz w:val="18"/>
        <w:szCs w:val="18"/>
      </w:rPr>
      <w:t xml:space="preserve">For independent critique and analysis</w:t>
    </w:r>
    <w:r>
      <w:rPr>
        <w:rFonts w:ascii="Georgia" w:cs="Georgia" w:eastAsia="Georgia" w:hAnsi="Georgia"/>
        <w:sz w:val="18"/>
        <w:szCs w:val="18"/>
      </w:rPr>
      <w:t xml:space="preserve">	</w:t>
    </w:r>
    <w:r>
      <w:rPr>
        <w:rFonts w:ascii="Georgia" w:cs="Georgia" w:eastAsia="Georgia" w:hAnsi="Georgia"/>
        <w:color w:val="888888"/>
        <w:sz w:val="18"/>
        <w:szCs w:val="18"/>
      </w:rPr>
      <w:t xml:space="preserve">Page </w:t>
    </w:r>
    <w:r>
      <w:rPr>
        <w:rFonts w:ascii="Georgia" w:cs="Georgia" w:eastAsia="Georgia" w:hAnsi="Georgia"/>
        <w:color w:val="888888"/>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2" w:space="4"/>
      </w:pBdr>
      <w:spacing w:after="0"/>
    </w:pPr>
    <w:r>
      <w:rPr>
        <w:rFonts w:ascii="Georgia" w:cs="Georgia" w:eastAsia="Georgia" w:hAnsi="Georgia"/>
        <w:color w:val="888888"/>
        <w:sz w:val="18"/>
        <w:szCs w:val="18"/>
      </w:rPr>
      <w:t xml:space="preserve">MAGI — Deliberation Ledger  |  System Design Document  |  HARDENED DRAFT v0.2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2C3E5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480"/>
      <w:outlineLvl w:val="0"/>
    </w:pPr>
    <w:rPr>
      <w:rFonts w:ascii="Georgia" w:cs="Georgia" w:eastAsia="Georgia" w:hAnsi="Georgia"/>
      <w:b/>
      <w:bCs/>
      <w:color w:val="1A1A2E"/>
      <w:sz w:val="34"/>
      <w:szCs w:val="34"/>
    </w:rPr>
  </w:style>
  <w:style w:type="paragraph" w:styleId="Heading2">
    <w:name w:val="Heading 2"/>
    <w:basedOn w:val="Normal"/>
    <w:next w:val="Normal"/>
    <w:qFormat/>
    <w:pPr>
      <w:spacing w:after="120" w:before="340"/>
      <w:outlineLvl w:val="1"/>
    </w:pPr>
    <w:rPr>
      <w:rFonts w:ascii="Georgia" w:cs="Georgia" w:eastAsia="Georgia" w:hAnsi="Georgia"/>
      <w:b/>
      <w:bCs/>
      <w:color w:val="1A1A2E"/>
      <w:sz w:val="27"/>
      <w:szCs w:val="27"/>
    </w:rPr>
  </w:style>
  <w:style w:type="paragraph" w:styleId="Heading3">
    <w:name w:val="Heading 3"/>
    <w:basedOn w:val="Normal"/>
    <w:next w:val="Normal"/>
    <w:qFormat/>
    <w:pPr>
      <w:spacing w:after="80" w:before="260"/>
      <w:outlineLvl w:val="2"/>
    </w:pPr>
    <w:rPr>
      <w:rFonts w:ascii="Georgia" w:cs="Georgia" w:eastAsia="Georgia" w:hAnsi="Georgia"/>
      <w:b/>
      <w:bCs/>
      <w:color w:val="2C3E50"/>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MAGI — Deliberation Ledger: System Design Document (Hardened v0.2)</dc:title>
  <dc:creator>MAGI Design Team</dc:creator>
  <dc:description>Hardened design document for independent critique</dc:description>
  <cp:lastModifiedBy>Un-named</cp:lastModifiedBy>
  <cp:revision>1</cp:revision>
  <dcterms:created xsi:type="dcterms:W3CDTF">2026-06-13T23:57:25.419Z</dcterms:created>
  <dcterms:modified xsi:type="dcterms:W3CDTF">2026-06-13T23:57:25.420Z</dcterms:modified>
</cp:coreProperties>
</file>

<file path=docProps/custom.xml><?xml version="1.0" encoding="utf-8"?>
<Properties xmlns="http://schemas.openxmlformats.org/officeDocument/2006/custom-properties" xmlns:vt="http://schemas.openxmlformats.org/officeDocument/2006/docPropsVTypes"/>
</file>